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20063D" w:rsidRPr="009E02D0" w:rsidTr="003E1498">
        <w:trPr>
          <w:cantSplit/>
          <w:trHeight w:hRule="exact" w:val="3458"/>
        </w:trPr>
        <w:tc>
          <w:tcPr>
            <w:tcW w:w="5000" w:type="pct"/>
          </w:tcPr>
          <w:p w:rsidR="00AE72F5" w:rsidRPr="00ED15AC" w:rsidRDefault="004A7974" w:rsidP="00AE72F5">
            <w:pPr>
              <w:rPr>
                <w:rFonts w:ascii="Arial Black" w:hAnsi="Arial Black" w:cs="Arial"/>
                <w:b/>
                <w:sz w:val="40"/>
                <w:szCs w:val="40"/>
              </w:rPr>
            </w:pPr>
            <w:r>
              <w:rPr>
                <w:rFonts w:ascii="Arial Black" w:hAnsi="Arial Black" w:cs="Arial"/>
                <w:b/>
                <w:sz w:val="40"/>
                <w:szCs w:val="40"/>
              </w:rPr>
              <w:t xml:space="preserve">Totalrevision </w:t>
            </w:r>
            <w:r w:rsidR="00AE72F5" w:rsidRPr="00ED15AC">
              <w:rPr>
                <w:rFonts w:ascii="Arial Black" w:hAnsi="Arial Black" w:cs="Arial"/>
                <w:b/>
                <w:sz w:val="40"/>
                <w:szCs w:val="40"/>
              </w:rPr>
              <w:t xml:space="preserve">Bürgerrechtsgesetz </w:t>
            </w:r>
            <w:r w:rsidR="00AE72F5" w:rsidRPr="00ED15AC">
              <w:rPr>
                <w:rFonts w:ascii="Arial Black" w:hAnsi="Arial Black" w:cs="Arial"/>
                <w:b/>
                <w:sz w:val="40"/>
                <w:szCs w:val="40"/>
              </w:rPr>
              <w:br/>
            </w:r>
            <w:proofErr w:type="spellStart"/>
            <w:r w:rsidR="00AE72F5" w:rsidRPr="00ED15AC">
              <w:rPr>
                <w:rFonts w:ascii="Arial Black" w:hAnsi="Arial Black" w:cs="Arial"/>
                <w:b/>
                <w:sz w:val="40"/>
                <w:szCs w:val="40"/>
              </w:rPr>
              <w:t>Vernehmlassungsentwurf</w:t>
            </w:r>
            <w:proofErr w:type="spellEnd"/>
            <w:r w:rsidR="00AE72F5" w:rsidRPr="00ED15AC">
              <w:rPr>
                <w:rFonts w:ascii="Arial Black" w:hAnsi="Arial Black" w:cs="Arial"/>
                <w:b/>
                <w:sz w:val="40"/>
                <w:szCs w:val="40"/>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AE72F5" w:rsidRPr="00ED15AC" w:rsidTr="00F0230D">
              <w:trPr>
                <w:cantSplit/>
                <w:trHeight w:hRule="exact" w:val="3458"/>
              </w:trPr>
              <w:tc>
                <w:tcPr>
                  <w:tcW w:w="5000" w:type="pct"/>
                </w:tcPr>
                <w:p w:rsidR="00AE72F5" w:rsidRPr="00ED15AC" w:rsidRDefault="00AE72F5" w:rsidP="00AE72F5">
                  <w:pPr>
                    <w:keepLines/>
                    <w:tabs>
                      <w:tab w:val="clear" w:pos="7938"/>
                      <w:tab w:val="decimal" w:pos="8505"/>
                    </w:tabs>
                    <w:rPr>
                      <w:rFonts w:ascii="Arial Black" w:hAnsi="Arial Black"/>
                      <w:sz w:val="40"/>
                      <w:szCs w:val="40"/>
                    </w:rPr>
                  </w:pPr>
                  <w:r w:rsidRPr="00ED15AC">
                    <w:rPr>
                      <w:rFonts w:ascii="Arial Black" w:hAnsi="Arial Black"/>
                      <w:sz w:val="40"/>
                      <w:szCs w:val="40"/>
                    </w:rPr>
                    <w:t xml:space="preserve">Erläuternder Bericht </w:t>
                  </w:r>
                </w:p>
                <w:p w:rsidR="00AE72F5" w:rsidRPr="00ED15AC" w:rsidRDefault="00912AE8" w:rsidP="00AE72F5">
                  <w:pPr>
                    <w:keepLines/>
                    <w:tabs>
                      <w:tab w:val="clear" w:pos="7938"/>
                      <w:tab w:val="decimal" w:pos="8505"/>
                    </w:tabs>
                    <w:rPr>
                      <w:rFonts w:ascii="Arial Black" w:hAnsi="Arial Black"/>
                      <w:sz w:val="32"/>
                      <w:szCs w:val="32"/>
                    </w:rPr>
                  </w:pPr>
                  <w:r>
                    <w:rPr>
                      <w:rFonts w:cs="Arial"/>
                      <w:sz w:val="28"/>
                      <w:szCs w:val="28"/>
                    </w:rPr>
                    <w:t xml:space="preserve">10. </w:t>
                  </w:r>
                  <w:r w:rsidR="002B5259">
                    <w:rPr>
                      <w:rFonts w:cs="Arial"/>
                      <w:sz w:val="28"/>
                      <w:szCs w:val="28"/>
                    </w:rPr>
                    <w:t xml:space="preserve">April </w:t>
                  </w:r>
                  <w:r w:rsidR="00E6747C">
                    <w:rPr>
                      <w:rFonts w:asciiTheme="minorHAnsi" w:hAnsiTheme="minorHAnsi" w:cstheme="minorHAnsi"/>
                      <w:sz w:val="28"/>
                      <w:szCs w:val="28"/>
                    </w:rPr>
                    <w:t>2019</w:t>
                  </w:r>
                </w:p>
              </w:tc>
            </w:tr>
          </w:tbl>
          <w:p w:rsidR="00FF1AED" w:rsidRPr="00FF1AED" w:rsidRDefault="00FF1AED" w:rsidP="00F65A21">
            <w:pPr>
              <w:pStyle w:val="55Kopf"/>
            </w:pPr>
          </w:p>
        </w:tc>
      </w:tr>
    </w:tbl>
    <w:p w:rsidR="008C1DE2" w:rsidRPr="00F4469E" w:rsidRDefault="008C1DE2" w:rsidP="002200E3">
      <w:pPr>
        <w:pStyle w:val="00Vorgabetext"/>
      </w:pPr>
    </w:p>
    <w:p w:rsidR="008C1DE2" w:rsidRPr="00F4469E" w:rsidRDefault="004E5554" w:rsidP="002200E3">
      <w:pPr>
        <w:pStyle w:val="00Vorgabetext"/>
      </w:pPr>
      <w:r>
        <w:rPr>
          <w:noProof/>
        </w:rPr>
        <mc:AlternateContent>
          <mc:Choice Requires="wps">
            <w:drawing>
              <wp:anchor distT="0" distB="0" distL="114300" distR="114300" simplePos="0" relativeHeight="251657728" behindDoc="1" locked="0" layoutInCell="0" allowOverlap="1">
                <wp:simplePos x="0" y="0"/>
                <wp:positionH relativeFrom="page">
                  <wp:posOffset>342265</wp:posOffset>
                </wp:positionH>
                <wp:positionV relativeFrom="page">
                  <wp:posOffset>3600450</wp:posOffset>
                </wp:positionV>
                <wp:extent cx="6480175" cy="6480175"/>
                <wp:effectExtent l="8890" t="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480175"/>
                        </a:xfrm>
                        <a:prstGeom prst="rtTriangl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2EF14"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26.95pt;margin-top:283.5pt;width:510.25pt;height:51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" o:allowincell="f" fillcolor="#00adee [3205]" stroked="f">
                <w10:wrap anchorx="page" anchory="page"/>
              </v:shape>
            </w:pict>
          </mc:Fallback>
        </mc:AlternateContent>
      </w:r>
    </w:p>
    <w:p w:rsidR="008C1DE2" w:rsidRPr="00F4469E" w:rsidRDefault="008C1DE2" w:rsidP="002200E3">
      <w:pPr>
        <w:pStyle w:val="00Vorgabetext"/>
      </w:pPr>
    </w:p>
    <w:p w:rsidR="0020063D" w:rsidRPr="00F4469E" w:rsidRDefault="0020063D" w:rsidP="002200E3">
      <w:pPr>
        <w:pStyle w:val="00Vorgabetext"/>
      </w:pPr>
    </w:p>
    <w:p w:rsidR="000A33A1" w:rsidRDefault="0020063D" w:rsidP="002200E3">
      <w:pPr>
        <w:pStyle w:val="00Vorgabetext"/>
      </w:pPr>
      <w:r w:rsidRPr="002200E3">
        <w:br w:type="page"/>
      </w:r>
    </w:p>
    <w:p w:rsidR="004B0F70" w:rsidRDefault="00AB1BA7">
      <w:pPr>
        <w:pStyle w:val="Verzeichnis3"/>
        <w:rPr>
          <w:rFonts w:asciiTheme="minorHAnsi" w:eastAsiaTheme="minorEastAsia" w:hAnsiTheme="minorHAnsi" w:cstheme="minorBidi"/>
          <w:noProof/>
        </w:rPr>
      </w:pPr>
      <w:r>
        <w:rPr>
          <w:noProof/>
        </w:rPr>
        <w:lastRenderedPageBreak/>
        <w:fldChar w:fldCharType="begin"/>
      </w:r>
      <w:r>
        <w:rPr>
          <w:noProof/>
        </w:rPr>
        <w:instrText xml:space="preserve"> TOC \t "70 Zusammenfassung;1;34 Titel 1;2;35 Titel 2;3;36 Titel 3;4;37 Titel 4;5;38 Titel 5;6" </w:instrText>
      </w:r>
      <w:r>
        <w:rPr>
          <w:noProof/>
        </w:rPr>
        <w:fldChar w:fldCharType="separate"/>
      </w:r>
      <w:r w:rsidR="004B0F70">
        <w:rPr>
          <w:noProof/>
        </w:rPr>
        <w:t>1.</w:t>
      </w:r>
      <w:r w:rsidR="004B0F70">
        <w:rPr>
          <w:rFonts w:asciiTheme="minorHAnsi" w:eastAsiaTheme="minorEastAsia" w:hAnsiTheme="minorHAnsi" w:cstheme="minorBidi"/>
          <w:noProof/>
        </w:rPr>
        <w:tab/>
      </w:r>
      <w:r w:rsidR="004B0F70">
        <w:rPr>
          <w:noProof/>
        </w:rPr>
        <w:t>Bedeutung des Bürgerrechts</w:t>
      </w:r>
      <w:r w:rsidR="004B0F70">
        <w:rPr>
          <w:noProof/>
        </w:rPr>
        <w:tab/>
      </w:r>
      <w:r w:rsidR="004B0F70">
        <w:rPr>
          <w:noProof/>
        </w:rPr>
        <w:fldChar w:fldCharType="begin"/>
      </w:r>
      <w:r w:rsidR="004B0F70">
        <w:rPr>
          <w:noProof/>
        </w:rPr>
        <w:instrText xml:space="preserve"> PAGEREF _Toc6405551 \h </w:instrText>
      </w:r>
      <w:r w:rsidR="004B0F70">
        <w:rPr>
          <w:noProof/>
        </w:rPr>
      </w:r>
      <w:r w:rsidR="004B0F70">
        <w:rPr>
          <w:noProof/>
        </w:rPr>
        <w:fldChar w:fldCharType="separate"/>
      </w:r>
      <w:r w:rsidR="004B0F70">
        <w:rPr>
          <w:noProof/>
        </w:rPr>
        <w:t>1</w:t>
      </w:r>
      <w:r w:rsidR="004B0F70">
        <w:rPr>
          <w:noProof/>
        </w:rPr>
        <w:fldChar w:fldCharType="end"/>
      </w:r>
    </w:p>
    <w:p w:rsidR="004B0F70" w:rsidRDefault="004B0F70">
      <w:pPr>
        <w:pStyle w:val="Verzeichnis3"/>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Auslöser der Revision</w:t>
      </w:r>
      <w:r>
        <w:rPr>
          <w:noProof/>
        </w:rPr>
        <w:tab/>
      </w:r>
      <w:r>
        <w:rPr>
          <w:noProof/>
        </w:rPr>
        <w:fldChar w:fldCharType="begin"/>
      </w:r>
      <w:r>
        <w:rPr>
          <w:noProof/>
        </w:rPr>
        <w:instrText xml:space="preserve"> PAGEREF _Toc6405552 \h </w:instrText>
      </w:r>
      <w:r>
        <w:rPr>
          <w:noProof/>
        </w:rPr>
      </w:r>
      <w:r>
        <w:rPr>
          <w:noProof/>
        </w:rPr>
        <w:fldChar w:fldCharType="separate"/>
      </w:r>
      <w:r>
        <w:rPr>
          <w:noProof/>
        </w:rPr>
        <w:t>1</w:t>
      </w:r>
      <w:r>
        <w:rPr>
          <w:noProof/>
        </w:rPr>
        <w:fldChar w:fldCharType="end"/>
      </w:r>
    </w:p>
    <w:p w:rsidR="004B0F70" w:rsidRDefault="004B0F70">
      <w:pPr>
        <w:pStyle w:val="Verzeichnis3"/>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Ausgangslage</w:t>
      </w:r>
      <w:r>
        <w:rPr>
          <w:noProof/>
        </w:rPr>
        <w:tab/>
      </w:r>
      <w:r>
        <w:rPr>
          <w:noProof/>
        </w:rPr>
        <w:fldChar w:fldCharType="begin"/>
      </w:r>
      <w:r>
        <w:rPr>
          <w:noProof/>
        </w:rPr>
        <w:instrText xml:space="preserve"> PAGEREF _Toc6405553 \h </w:instrText>
      </w:r>
      <w:r>
        <w:rPr>
          <w:noProof/>
        </w:rPr>
      </w:r>
      <w:r>
        <w:rPr>
          <w:noProof/>
        </w:rPr>
        <w:fldChar w:fldCharType="separate"/>
      </w:r>
      <w:r>
        <w:rPr>
          <w:noProof/>
        </w:rPr>
        <w:t>2</w:t>
      </w:r>
      <w:r>
        <w:rPr>
          <w:noProof/>
        </w:rPr>
        <w:fldChar w:fldCharType="end"/>
      </w:r>
    </w:p>
    <w:p w:rsidR="004B0F70" w:rsidRDefault="004B0F70">
      <w:pPr>
        <w:pStyle w:val="Verzeichnis4"/>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Vorgaben des Bundesrechts</w:t>
      </w:r>
      <w:r>
        <w:rPr>
          <w:noProof/>
        </w:rPr>
        <w:tab/>
      </w:r>
      <w:r>
        <w:rPr>
          <w:noProof/>
        </w:rPr>
        <w:fldChar w:fldCharType="begin"/>
      </w:r>
      <w:r>
        <w:rPr>
          <w:noProof/>
        </w:rPr>
        <w:instrText xml:space="preserve"> PAGEREF _Toc6405554 \h </w:instrText>
      </w:r>
      <w:r>
        <w:rPr>
          <w:noProof/>
        </w:rPr>
      </w:r>
      <w:r>
        <w:rPr>
          <w:noProof/>
        </w:rPr>
        <w:fldChar w:fldCharType="separate"/>
      </w:r>
      <w:r>
        <w:rPr>
          <w:noProof/>
        </w:rPr>
        <w:t>2</w:t>
      </w:r>
      <w:r>
        <w:rPr>
          <w:noProof/>
        </w:rPr>
        <w:fldChar w:fldCharType="end"/>
      </w:r>
    </w:p>
    <w:p w:rsidR="004B0F70" w:rsidRDefault="004B0F70">
      <w:pPr>
        <w:pStyle w:val="Verzeichnis4"/>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Inhalt des Bundesrechts</w:t>
      </w:r>
      <w:r>
        <w:rPr>
          <w:noProof/>
        </w:rPr>
        <w:tab/>
      </w:r>
      <w:r>
        <w:rPr>
          <w:noProof/>
        </w:rPr>
        <w:fldChar w:fldCharType="begin"/>
      </w:r>
      <w:r>
        <w:rPr>
          <w:noProof/>
        </w:rPr>
        <w:instrText xml:space="preserve"> PAGEREF _Toc6405555 \h </w:instrText>
      </w:r>
      <w:r>
        <w:rPr>
          <w:noProof/>
        </w:rPr>
      </w:r>
      <w:r>
        <w:rPr>
          <w:noProof/>
        </w:rPr>
        <w:fldChar w:fldCharType="separate"/>
      </w:r>
      <w:r>
        <w:rPr>
          <w:noProof/>
        </w:rPr>
        <w:t>3</w:t>
      </w:r>
      <w:r>
        <w:rPr>
          <w:noProof/>
        </w:rPr>
        <w:fldChar w:fldCharType="end"/>
      </w:r>
    </w:p>
    <w:p w:rsidR="004B0F70" w:rsidRDefault="004B0F70">
      <w:pPr>
        <w:pStyle w:val="Verzeichnis5"/>
      </w:pPr>
      <w:r w:rsidRPr="00542426">
        <w:rPr>
          <w:lang w:val="de-DE" w:eastAsia="en-US"/>
        </w:rPr>
        <w:t>3.2.1.</w:t>
      </w:r>
      <w:r>
        <w:tab/>
      </w:r>
      <w:r w:rsidRPr="00542426">
        <w:rPr>
          <w:lang w:val="de-DE" w:eastAsia="en-US"/>
        </w:rPr>
        <w:t>Formelle Voraussetzungen</w:t>
      </w:r>
      <w:r>
        <w:tab/>
      </w:r>
      <w:r>
        <w:fldChar w:fldCharType="begin"/>
      </w:r>
      <w:r>
        <w:instrText xml:space="preserve"> PAGEREF _Toc6405556 \h </w:instrText>
      </w:r>
      <w:r>
        <w:fldChar w:fldCharType="separate"/>
      </w:r>
      <w:r>
        <w:t>3</w:t>
      </w:r>
      <w:r>
        <w:fldChar w:fldCharType="end"/>
      </w:r>
    </w:p>
    <w:p w:rsidR="004B0F70" w:rsidRDefault="004B0F70">
      <w:pPr>
        <w:pStyle w:val="Verzeichnis5"/>
      </w:pPr>
      <w:r w:rsidRPr="00542426">
        <w:rPr>
          <w:lang w:val="de-DE" w:eastAsia="en-US"/>
        </w:rPr>
        <w:t>3.2.2.</w:t>
      </w:r>
      <w:r>
        <w:tab/>
      </w:r>
      <w:r w:rsidRPr="00542426">
        <w:rPr>
          <w:lang w:val="de-DE" w:eastAsia="en-US"/>
        </w:rPr>
        <w:t>Materielle Voraussetzungen</w:t>
      </w:r>
      <w:r>
        <w:tab/>
      </w:r>
      <w:r>
        <w:fldChar w:fldCharType="begin"/>
      </w:r>
      <w:r>
        <w:instrText xml:space="preserve"> PAGEREF _Toc6405557 \h </w:instrText>
      </w:r>
      <w:r>
        <w:fldChar w:fldCharType="separate"/>
      </w:r>
      <w:r>
        <w:t>4</w:t>
      </w:r>
      <w:r>
        <w:fldChar w:fldCharType="end"/>
      </w:r>
    </w:p>
    <w:p w:rsidR="004B0F70" w:rsidRDefault="004B0F70">
      <w:pPr>
        <w:pStyle w:val="Verzeichnis4"/>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Vorgaben der Kantonsverfassung</w:t>
      </w:r>
      <w:r>
        <w:rPr>
          <w:noProof/>
        </w:rPr>
        <w:tab/>
      </w:r>
      <w:r>
        <w:rPr>
          <w:noProof/>
        </w:rPr>
        <w:fldChar w:fldCharType="begin"/>
      </w:r>
      <w:r>
        <w:rPr>
          <w:noProof/>
        </w:rPr>
        <w:instrText xml:space="preserve"> PAGEREF _Toc6405558 \h </w:instrText>
      </w:r>
      <w:r>
        <w:rPr>
          <w:noProof/>
        </w:rPr>
      </w:r>
      <w:r>
        <w:rPr>
          <w:noProof/>
        </w:rPr>
        <w:fldChar w:fldCharType="separate"/>
      </w:r>
      <w:r>
        <w:rPr>
          <w:noProof/>
        </w:rPr>
        <w:t>5</w:t>
      </w:r>
      <w:r>
        <w:rPr>
          <w:noProof/>
        </w:rPr>
        <w:fldChar w:fldCharType="end"/>
      </w:r>
    </w:p>
    <w:p w:rsidR="004B0F70" w:rsidRDefault="004B0F70">
      <w:pPr>
        <w:pStyle w:val="Verzeichnis4"/>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Zahlen zur Einbürgerung</w:t>
      </w:r>
      <w:r>
        <w:rPr>
          <w:noProof/>
        </w:rPr>
        <w:tab/>
      </w:r>
      <w:r>
        <w:rPr>
          <w:noProof/>
        </w:rPr>
        <w:fldChar w:fldCharType="begin"/>
      </w:r>
      <w:r>
        <w:rPr>
          <w:noProof/>
        </w:rPr>
        <w:instrText xml:space="preserve"> PAGEREF _Toc6405559 \h </w:instrText>
      </w:r>
      <w:r>
        <w:rPr>
          <w:noProof/>
        </w:rPr>
      </w:r>
      <w:r>
        <w:rPr>
          <w:noProof/>
        </w:rPr>
        <w:fldChar w:fldCharType="separate"/>
      </w:r>
      <w:r>
        <w:rPr>
          <w:noProof/>
        </w:rPr>
        <w:t>6</w:t>
      </w:r>
      <w:r>
        <w:rPr>
          <w:noProof/>
        </w:rPr>
        <w:fldChar w:fldCharType="end"/>
      </w:r>
    </w:p>
    <w:p w:rsidR="004B0F70" w:rsidRDefault="004B0F70">
      <w:pPr>
        <w:pStyle w:val="Verzeichnis3"/>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Grundsätze der Revision</w:t>
      </w:r>
      <w:r>
        <w:rPr>
          <w:noProof/>
        </w:rPr>
        <w:tab/>
      </w:r>
      <w:r>
        <w:rPr>
          <w:noProof/>
        </w:rPr>
        <w:fldChar w:fldCharType="begin"/>
      </w:r>
      <w:r>
        <w:rPr>
          <w:noProof/>
        </w:rPr>
        <w:instrText xml:space="preserve"> PAGEREF _Toc6405560 \h </w:instrText>
      </w:r>
      <w:r>
        <w:rPr>
          <w:noProof/>
        </w:rPr>
      </w:r>
      <w:r>
        <w:rPr>
          <w:noProof/>
        </w:rPr>
        <w:fldChar w:fldCharType="separate"/>
      </w:r>
      <w:r>
        <w:rPr>
          <w:noProof/>
        </w:rPr>
        <w:t>6</w:t>
      </w:r>
      <w:r>
        <w:rPr>
          <w:noProof/>
        </w:rPr>
        <w:fldChar w:fldCharType="end"/>
      </w:r>
    </w:p>
    <w:p w:rsidR="004B0F70" w:rsidRDefault="004B0F70">
      <w:pPr>
        <w:pStyle w:val="Verzeichnis3"/>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Inhalt der Vorlage</w:t>
      </w:r>
      <w:r>
        <w:rPr>
          <w:noProof/>
        </w:rPr>
        <w:tab/>
      </w:r>
      <w:r>
        <w:rPr>
          <w:noProof/>
        </w:rPr>
        <w:fldChar w:fldCharType="begin"/>
      </w:r>
      <w:r>
        <w:rPr>
          <w:noProof/>
        </w:rPr>
        <w:instrText xml:space="preserve"> PAGEREF _Toc6405561 \h </w:instrText>
      </w:r>
      <w:r>
        <w:rPr>
          <w:noProof/>
        </w:rPr>
      </w:r>
      <w:r>
        <w:rPr>
          <w:noProof/>
        </w:rPr>
        <w:fldChar w:fldCharType="separate"/>
      </w:r>
      <w:r>
        <w:rPr>
          <w:noProof/>
        </w:rPr>
        <w:t>7</w:t>
      </w:r>
      <w:r>
        <w:rPr>
          <w:noProof/>
        </w:rPr>
        <w:fldChar w:fldCharType="end"/>
      </w:r>
    </w:p>
    <w:p w:rsidR="004B0F70" w:rsidRDefault="004B0F70">
      <w:pPr>
        <w:pStyle w:val="Verzeichnis3"/>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Wichtige Regelungsbereiche</w:t>
      </w:r>
      <w:r>
        <w:rPr>
          <w:noProof/>
        </w:rPr>
        <w:tab/>
      </w:r>
      <w:r>
        <w:rPr>
          <w:noProof/>
        </w:rPr>
        <w:fldChar w:fldCharType="begin"/>
      </w:r>
      <w:r>
        <w:rPr>
          <w:noProof/>
        </w:rPr>
        <w:instrText xml:space="preserve"> PAGEREF _Toc6405562 \h </w:instrText>
      </w:r>
      <w:r>
        <w:rPr>
          <w:noProof/>
        </w:rPr>
      </w:r>
      <w:r>
        <w:rPr>
          <w:noProof/>
        </w:rPr>
        <w:fldChar w:fldCharType="separate"/>
      </w:r>
      <w:r>
        <w:rPr>
          <w:noProof/>
        </w:rPr>
        <w:t>10</w:t>
      </w:r>
      <w:r>
        <w:rPr>
          <w:noProof/>
        </w:rPr>
        <w:fldChar w:fldCharType="end"/>
      </w:r>
    </w:p>
    <w:p w:rsidR="004B0F70" w:rsidRDefault="004B0F70">
      <w:pPr>
        <w:pStyle w:val="Verzeichnis4"/>
        <w:rPr>
          <w:rFonts w:asciiTheme="minorHAnsi" w:eastAsiaTheme="minorEastAsia" w:hAnsiTheme="minorHAnsi" w:cstheme="minorBidi"/>
          <w:noProof/>
        </w:rPr>
      </w:pPr>
      <w:r>
        <w:rPr>
          <w:noProof/>
        </w:rPr>
        <w:t>6.1.</w:t>
      </w:r>
      <w:r>
        <w:rPr>
          <w:rFonts w:asciiTheme="minorHAnsi" w:eastAsiaTheme="minorEastAsia" w:hAnsiTheme="minorHAnsi" w:cstheme="minorBidi"/>
          <w:noProof/>
        </w:rPr>
        <w:tab/>
      </w:r>
      <w:r>
        <w:rPr>
          <w:noProof/>
        </w:rPr>
        <w:t>Einbürgerung als Rechtsanwendung</w:t>
      </w:r>
      <w:r>
        <w:rPr>
          <w:noProof/>
        </w:rPr>
        <w:tab/>
      </w:r>
      <w:r>
        <w:rPr>
          <w:noProof/>
        </w:rPr>
        <w:fldChar w:fldCharType="begin"/>
      </w:r>
      <w:r>
        <w:rPr>
          <w:noProof/>
        </w:rPr>
        <w:instrText xml:space="preserve"> PAGEREF _Toc6405563 \h </w:instrText>
      </w:r>
      <w:r>
        <w:rPr>
          <w:noProof/>
        </w:rPr>
      </w:r>
      <w:r>
        <w:rPr>
          <w:noProof/>
        </w:rPr>
        <w:fldChar w:fldCharType="separate"/>
      </w:r>
      <w:r>
        <w:rPr>
          <w:noProof/>
        </w:rPr>
        <w:t>10</w:t>
      </w:r>
      <w:r>
        <w:rPr>
          <w:noProof/>
        </w:rPr>
        <w:fldChar w:fldCharType="end"/>
      </w:r>
    </w:p>
    <w:p w:rsidR="004B0F70" w:rsidRDefault="004B0F70">
      <w:pPr>
        <w:pStyle w:val="Verzeichnis4"/>
        <w:rPr>
          <w:rFonts w:asciiTheme="minorHAnsi" w:eastAsiaTheme="minorEastAsia" w:hAnsiTheme="minorHAnsi" w:cstheme="minorBidi"/>
          <w:noProof/>
        </w:rPr>
      </w:pPr>
      <w:r>
        <w:rPr>
          <w:noProof/>
        </w:rPr>
        <w:t>6.2.</w:t>
      </w:r>
      <w:r>
        <w:rPr>
          <w:rFonts w:asciiTheme="minorHAnsi" w:eastAsiaTheme="minorEastAsia" w:hAnsiTheme="minorHAnsi" w:cstheme="minorBidi"/>
          <w:noProof/>
        </w:rPr>
        <w:tab/>
      </w:r>
      <w:r>
        <w:rPr>
          <w:noProof/>
        </w:rPr>
        <w:t>Aufenthaltsdauer in der Gemeinde</w:t>
      </w:r>
      <w:r>
        <w:rPr>
          <w:noProof/>
        </w:rPr>
        <w:tab/>
      </w:r>
      <w:r>
        <w:rPr>
          <w:noProof/>
        </w:rPr>
        <w:fldChar w:fldCharType="begin"/>
      </w:r>
      <w:r>
        <w:rPr>
          <w:noProof/>
        </w:rPr>
        <w:instrText xml:space="preserve"> PAGEREF _Toc6405564 \h </w:instrText>
      </w:r>
      <w:r>
        <w:rPr>
          <w:noProof/>
        </w:rPr>
      </w:r>
      <w:r>
        <w:rPr>
          <w:noProof/>
        </w:rPr>
        <w:fldChar w:fldCharType="separate"/>
      </w:r>
      <w:r>
        <w:rPr>
          <w:noProof/>
        </w:rPr>
        <w:t>12</w:t>
      </w:r>
      <w:r>
        <w:rPr>
          <w:noProof/>
        </w:rPr>
        <w:fldChar w:fldCharType="end"/>
      </w:r>
    </w:p>
    <w:p w:rsidR="004B0F70" w:rsidRDefault="004B0F70">
      <w:pPr>
        <w:pStyle w:val="Verzeichnis4"/>
        <w:rPr>
          <w:rFonts w:asciiTheme="minorHAnsi" w:eastAsiaTheme="minorEastAsia" w:hAnsiTheme="minorHAnsi" w:cstheme="minorBidi"/>
          <w:noProof/>
        </w:rPr>
      </w:pPr>
      <w:r>
        <w:rPr>
          <w:noProof/>
        </w:rPr>
        <w:t>6.3.</w:t>
      </w:r>
      <w:r>
        <w:rPr>
          <w:rFonts w:asciiTheme="minorHAnsi" w:eastAsiaTheme="minorEastAsia" w:hAnsiTheme="minorHAnsi" w:cstheme="minorBidi"/>
          <w:noProof/>
        </w:rPr>
        <w:tab/>
      </w:r>
      <w:r>
        <w:rPr>
          <w:noProof/>
        </w:rPr>
        <w:t>Beachtung der Strafrechtsordnung durch Jugendliche</w:t>
      </w:r>
      <w:r>
        <w:rPr>
          <w:noProof/>
        </w:rPr>
        <w:tab/>
      </w:r>
      <w:r>
        <w:rPr>
          <w:noProof/>
        </w:rPr>
        <w:fldChar w:fldCharType="begin"/>
      </w:r>
      <w:r>
        <w:rPr>
          <w:noProof/>
        </w:rPr>
        <w:instrText xml:space="preserve"> PAGEREF _Toc6405565 \h </w:instrText>
      </w:r>
      <w:r>
        <w:rPr>
          <w:noProof/>
        </w:rPr>
      </w:r>
      <w:r>
        <w:rPr>
          <w:noProof/>
        </w:rPr>
        <w:fldChar w:fldCharType="separate"/>
      </w:r>
      <w:r>
        <w:rPr>
          <w:noProof/>
        </w:rPr>
        <w:t>13</w:t>
      </w:r>
      <w:r>
        <w:rPr>
          <w:noProof/>
        </w:rPr>
        <w:fldChar w:fldCharType="end"/>
      </w:r>
    </w:p>
    <w:p w:rsidR="004B0F70" w:rsidRDefault="004B0F70">
      <w:pPr>
        <w:pStyle w:val="Verzeichnis4"/>
        <w:rPr>
          <w:rFonts w:asciiTheme="minorHAnsi" w:eastAsiaTheme="minorEastAsia" w:hAnsiTheme="minorHAnsi" w:cstheme="minorBidi"/>
          <w:noProof/>
        </w:rPr>
      </w:pPr>
      <w:r>
        <w:rPr>
          <w:noProof/>
        </w:rPr>
        <w:t>6.4.</w:t>
      </w:r>
      <w:r>
        <w:rPr>
          <w:rFonts w:asciiTheme="minorHAnsi" w:eastAsiaTheme="minorEastAsia" w:hAnsiTheme="minorHAnsi" w:cstheme="minorBidi"/>
          <w:noProof/>
        </w:rPr>
        <w:tab/>
      </w:r>
      <w:r>
        <w:rPr>
          <w:noProof/>
        </w:rPr>
        <w:t>Vertrautsein mit den hiesigen Verhältnissen</w:t>
      </w:r>
      <w:r>
        <w:rPr>
          <w:noProof/>
        </w:rPr>
        <w:tab/>
      </w:r>
      <w:r>
        <w:rPr>
          <w:noProof/>
        </w:rPr>
        <w:fldChar w:fldCharType="begin"/>
      </w:r>
      <w:r>
        <w:rPr>
          <w:noProof/>
        </w:rPr>
        <w:instrText xml:space="preserve"> PAGEREF _Toc6405566 \h </w:instrText>
      </w:r>
      <w:r>
        <w:rPr>
          <w:noProof/>
        </w:rPr>
      </w:r>
      <w:r>
        <w:rPr>
          <w:noProof/>
        </w:rPr>
        <w:fldChar w:fldCharType="separate"/>
      </w:r>
      <w:r>
        <w:rPr>
          <w:noProof/>
        </w:rPr>
        <w:t>15</w:t>
      </w:r>
      <w:r>
        <w:rPr>
          <w:noProof/>
        </w:rPr>
        <w:fldChar w:fldCharType="end"/>
      </w:r>
    </w:p>
    <w:p w:rsidR="004B0F70" w:rsidRDefault="004B0F70">
      <w:pPr>
        <w:pStyle w:val="Verzeichnis4"/>
        <w:rPr>
          <w:rFonts w:asciiTheme="minorHAnsi" w:eastAsiaTheme="minorEastAsia" w:hAnsiTheme="minorHAnsi" w:cstheme="minorBidi"/>
          <w:noProof/>
        </w:rPr>
      </w:pPr>
      <w:r>
        <w:rPr>
          <w:noProof/>
        </w:rPr>
        <w:t>6.5.</w:t>
      </w:r>
      <w:r>
        <w:rPr>
          <w:rFonts w:asciiTheme="minorHAnsi" w:eastAsiaTheme="minorEastAsia" w:hAnsiTheme="minorHAnsi" w:cstheme="minorBidi"/>
          <w:noProof/>
        </w:rPr>
        <w:tab/>
      </w:r>
      <w:r>
        <w:rPr>
          <w:noProof/>
        </w:rPr>
        <w:t>Aufgabenteilung zwischen Kanton und Gemeinden</w:t>
      </w:r>
      <w:r>
        <w:rPr>
          <w:noProof/>
        </w:rPr>
        <w:tab/>
      </w:r>
      <w:r>
        <w:rPr>
          <w:noProof/>
        </w:rPr>
        <w:fldChar w:fldCharType="begin"/>
      </w:r>
      <w:r>
        <w:rPr>
          <w:noProof/>
        </w:rPr>
        <w:instrText xml:space="preserve"> PAGEREF _Toc6405567 \h </w:instrText>
      </w:r>
      <w:r>
        <w:rPr>
          <w:noProof/>
        </w:rPr>
      </w:r>
      <w:r>
        <w:rPr>
          <w:noProof/>
        </w:rPr>
        <w:fldChar w:fldCharType="separate"/>
      </w:r>
      <w:r>
        <w:rPr>
          <w:noProof/>
        </w:rPr>
        <w:t>16</w:t>
      </w:r>
      <w:r>
        <w:rPr>
          <w:noProof/>
        </w:rPr>
        <w:fldChar w:fldCharType="end"/>
      </w:r>
    </w:p>
    <w:p w:rsidR="00111247" w:rsidRDefault="00AB1BA7" w:rsidP="00A73524">
      <w:pPr>
        <w:pStyle w:val="00Vorgabetext"/>
        <w:rPr>
          <w:b/>
          <w:noProof/>
          <w:sz w:val="24"/>
        </w:rPr>
      </w:pPr>
      <w:r>
        <w:rPr>
          <w:b/>
          <w:noProof/>
          <w:sz w:val="24"/>
        </w:rPr>
        <w:fldChar w:fldCharType="end"/>
      </w:r>
    </w:p>
    <w:p w:rsidR="00325038" w:rsidRDefault="00325038" w:rsidP="00A73524">
      <w:pPr>
        <w:pStyle w:val="00Vorgabetext"/>
        <w:rPr>
          <w:b/>
          <w:noProof/>
          <w:sz w:val="24"/>
        </w:rPr>
      </w:pPr>
    </w:p>
    <w:p w:rsidR="00325038" w:rsidRPr="00A73524" w:rsidRDefault="00325038" w:rsidP="00A73524">
      <w:pPr>
        <w:pStyle w:val="00Vorgabetext"/>
      </w:pPr>
    </w:p>
    <w:p w:rsidR="008A54F5" w:rsidRDefault="008A54F5" w:rsidP="008A54F5">
      <w:pPr>
        <w:pStyle w:val="00Vorgabetext"/>
        <w:spacing w:line="280" w:lineRule="atLeast"/>
        <w:rPr>
          <w:b/>
          <w:sz w:val="20"/>
          <w:szCs w:val="20"/>
        </w:rPr>
      </w:pPr>
      <w:r>
        <w:rPr>
          <w:b/>
        </w:rPr>
        <w:t xml:space="preserve">Rechtsgrundlagen und </w:t>
      </w:r>
      <w:r w:rsidR="00AE72F5" w:rsidRPr="00630FBC">
        <w:rPr>
          <w:b/>
        </w:rPr>
        <w:t>Abkürzungen</w:t>
      </w:r>
      <w:r w:rsidR="00AE72F5">
        <w:t>:</w:t>
      </w:r>
    </w:p>
    <w:p w:rsidR="00AE72F5" w:rsidRPr="008A54F5" w:rsidRDefault="00AE72F5" w:rsidP="008A54F5">
      <w:pPr>
        <w:pStyle w:val="00Vorgabetext"/>
        <w:tabs>
          <w:tab w:val="clear" w:pos="794"/>
          <w:tab w:val="left" w:pos="993"/>
        </w:tabs>
        <w:spacing w:line="280" w:lineRule="atLeast"/>
      </w:pPr>
      <w:r w:rsidRPr="00337990">
        <w:rPr>
          <w:b/>
          <w:sz w:val="20"/>
          <w:szCs w:val="20"/>
        </w:rPr>
        <w:t>BV:</w:t>
      </w:r>
      <w:r w:rsidRPr="00337990">
        <w:rPr>
          <w:b/>
          <w:sz w:val="20"/>
          <w:szCs w:val="20"/>
        </w:rPr>
        <w:tab/>
      </w:r>
      <w:r w:rsidR="008A54F5">
        <w:rPr>
          <w:b/>
          <w:sz w:val="20"/>
          <w:szCs w:val="20"/>
        </w:rPr>
        <w:tab/>
      </w:r>
      <w:r w:rsidRPr="00337990">
        <w:rPr>
          <w:sz w:val="20"/>
          <w:szCs w:val="20"/>
        </w:rPr>
        <w:t>Bundesverfassung der Schweizerischen Eidgenossenschaft vom 18. April 1999</w:t>
      </w:r>
    </w:p>
    <w:p w:rsidR="00AE72F5" w:rsidRPr="00337990" w:rsidRDefault="00AE72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sz w:val="20"/>
          <w:szCs w:val="20"/>
        </w:rPr>
      </w:pPr>
      <w:proofErr w:type="spellStart"/>
      <w:r w:rsidRPr="00337990">
        <w:rPr>
          <w:b/>
          <w:sz w:val="20"/>
          <w:szCs w:val="20"/>
        </w:rPr>
        <w:t>BüG</w:t>
      </w:r>
      <w:proofErr w:type="spellEnd"/>
      <w:r w:rsidRPr="00337990">
        <w:rPr>
          <w:b/>
          <w:sz w:val="20"/>
          <w:szCs w:val="20"/>
        </w:rPr>
        <w:t>:</w:t>
      </w:r>
      <w:r w:rsidRPr="00337990">
        <w:rPr>
          <w:sz w:val="20"/>
          <w:szCs w:val="20"/>
        </w:rPr>
        <w:tab/>
        <w:t>Bundesgesetz über das Schweizer Bürgerrecht vom 20. Juni 2014</w:t>
      </w:r>
    </w:p>
    <w:p w:rsidR="00AE72F5" w:rsidRPr="00337990" w:rsidRDefault="00AE72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sz w:val="20"/>
          <w:szCs w:val="20"/>
        </w:rPr>
      </w:pPr>
      <w:proofErr w:type="spellStart"/>
      <w:r w:rsidRPr="00337990">
        <w:rPr>
          <w:b/>
          <w:sz w:val="20"/>
          <w:szCs w:val="20"/>
        </w:rPr>
        <w:t>BüV</w:t>
      </w:r>
      <w:proofErr w:type="spellEnd"/>
      <w:r w:rsidRPr="00337990">
        <w:rPr>
          <w:b/>
          <w:sz w:val="20"/>
          <w:szCs w:val="20"/>
        </w:rPr>
        <w:t>:</w:t>
      </w:r>
      <w:r w:rsidRPr="00337990">
        <w:rPr>
          <w:sz w:val="20"/>
          <w:szCs w:val="20"/>
        </w:rPr>
        <w:tab/>
        <w:t>Verordnung über das Schweizer Bürgerrecht vom 17. Juni 2016</w:t>
      </w:r>
    </w:p>
    <w:p w:rsidR="008A54F5" w:rsidRDefault="008A54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b/>
          <w:sz w:val="20"/>
          <w:szCs w:val="20"/>
        </w:rPr>
      </w:pPr>
    </w:p>
    <w:p w:rsidR="008A54F5" w:rsidRDefault="008A54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b/>
          <w:sz w:val="20"/>
          <w:szCs w:val="20"/>
        </w:rPr>
      </w:pPr>
      <w:r>
        <w:rPr>
          <w:b/>
          <w:sz w:val="20"/>
          <w:szCs w:val="20"/>
        </w:rPr>
        <w:t>KV:</w:t>
      </w:r>
      <w:r>
        <w:rPr>
          <w:b/>
          <w:sz w:val="20"/>
          <w:szCs w:val="20"/>
        </w:rPr>
        <w:tab/>
      </w:r>
      <w:r w:rsidRPr="008A54F5">
        <w:rPr>
          <w:sz w:val="20"/>
          <w:szCs w:val="20"/>
        </w:rPr>
        <w:t>Verfassung des Kantons Zürich vom 27. Februar 2005</w:t>
      </w:r>
    </w:p>
    <w:p w:rsidR="00AE72F5" w:rsidRPr="00337990" w:rsidRDefault="00AE72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sz w:val="20"/>
          <w:szCs w:val="20"/>
        </w:rPr>
      </w:pPr>
      <w:proofErr w:type="spellStart"/>
      <w:r w:rsidRPr="00337990">
        <w:rPr>
          <w:b/>
          <w:sz w:val="20"/>
          <w:szCs w:val="20"/>
        </w:rPr>
        <w:t>KBüG</w:t>
      </w:r>
      <w:proofErr w:type="spellEnd"/>
      <w:r w:rsidRPr="00337990">
        <w:rPr>
          <w:b/>
          <w:sz w:val="20"/>
          <w:szCs w:val="20"/>
        </w:rPr>
        <w:t>:</w:t>
      </w:r>
      <w:r w:rsidRPr="00337990">
        <w:rPr>
          <w:b/>
          <w:sz w:val="20"/>
          <w:szCs w:val="20"/>
        </w:rPr>
        <w:tab/>
      </w:r>
      <w:r w:rsidRPr="00337990">
        <w:rPr>
          <w:sz w:val="20"/>
          <w:szCs w:val="20"/>
        </w:rPr>
        <w:t>Gesetz über das Bürgerrecht vom 6. Juni 1926</w:t>
      </w:r>
    </w:p>
    <w:p w:rsidR="00AE72F5" w:rsidRPr="00337990" w:rsidRDefault="00AE72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rPr>
          <w:sz w:val="20"/>
          <w:szCs w:val="20"/>
        </w:rPr>
      </w:pPr>
      <w:proofErr w:type="spellStart"/>
      <w:r w:rsidRPr="00337990">
        <w:rPr>
          <w:b/>
          <w:sz w:val="20"/>
          <w:szCs w:val="20"/>
        </w:rPr>
        <w:t>KBüV</w:t>
      </w:r>
      <w:proofErr w:type="spellEnd"/>
      <w:r w:rsidRPr="00337990">
        <w:rPr>
          <w:b/>
          <w:sz w:val="20"/>
          <w:szCs w:val="20"/>
        </w:rPr>
        <w:t>:</w:t>
      </w:r>
      <w:r w:rsidRPr="00337990">
        <w:rPr>
          <w:sz w:val="20"/>
          <w:szCs w:val="20"/>
        </w:rPr>
        <w:tab/>
        <w:t>Kantonale Bürgerrechtsverordnung vom 23. August 2017</w:t>
      </w:r>
    </w:p>
    <w:p w:rsidR="008A54F5" w:rsidRDefault="008A54F5" w:rsidP="008A54F5">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ind w:left="993" w:hanging="993"/>
        <w:rPr>
          <w:b/>
          <w:sz w:val="20"/>
          <w:szCs w:val="20"/>
        </w:rPr>
      </w:pPr>
    </w:p>
    <w:p w:rsidR="00451529" w:rsidRPr="00061BED" w:rsidRDefault="00AE72F5" w:rsidP="00061BED">
      <w:pPr>
        <w:pStyle w:val="00Vorgabetext"/>
        <w:tabs>
          <w:tab w:val="clear" w:pos="397"/>
          <w:tab w:val="clear" w:pos="794"/>
          <w:tab w:val="clear" w:pos="1191"/>
          <w:tab w:val="clear" w:pos="4479"/>
          <w:tab w:val="clear" w:pos="4876"/>
          <w:tab w:val="clear" w:pos="5273"/>
          <w:tab w:val="clear" w:pos="5670"/>
          <w:tab w:val="clear" w:pos="6067"/>
          <w:tab w:val="clear" w:pos="7938"/>
          <w:tab w:val="left" w:pos="993"/>
        </w:tabs>
        <w:spacing w:before="60" w:line="280" w:lineRule="atLeast"/>
        <w:ind w:left="993" w:hanging="993"/>
        <w:rPr>
          <w:noProof/>
          <w:sz w:val="20"/>
          <w:szCs w:val="20"/>
        </w:rPr>
      </w:pPr>
      <w:r w:rsidRPr="00337990">
        <w:rPr>
          <w:b/>
          <w:sz w:val="20"/>
          <w:szCs w:val="20"/>
        </w:rPr>
        <w:t>E-</w:t>
      </w:r>
      <w:proofErr w:type="spellStart"/>
      <w:r w:rsidRPr="00337990">
        <w:rPr>
          <w:b/>
          <w:sz w:val="20"/>
          <w:szCs w:val="20"/>
        </w:rPr>
        <w:t>KBüG</w:t>
      </w:r>
      <w:proofErr w:type="spellEnd"/>
      <w:r w:rsidRPr="00337990">
        <w:rPr>
          <w:b/>
          <w:sz w:val="20"/>
          <w:szCs w:val="20"/>
        </w:rPr>
        <w:t>:</w:t>
      </w:r>
      <w:r w:rsidRPr="00337990">
        <w:rPr>
          <w:b/>
          <w:sz w:val="20"/>
          <w:szCs w:val="20"/>
        </w:rPr>
        <w:tab/>
      </w:r>
      <w:proofErr w:type="spellStart"/>
      <w:r w:rsidRPr="00337990">
        <w:rPr>
          <w:sz w:val="20"/>
          <w:szCs w:val="20"/>
        </w:rPr>
        <w:t>Vernehmlassungsentwurf</w:t>
      </w:r>
      <w:proofErr w:type="spellEnd"/>
      <w:r w:rsidR="004A7974">
        <w:rPr>
          <w:sz w:val="20"/>
          <w:szCs w:val="20"/>
        </w:rPr>
        <w:t xml:space="preserve"> zur </w:t>
      </w:r>
      <w:r w:rsidR="002B5259">
        <w:rPr>
          <w:sz w:val="20"/>
          <w:szCs w:val="20"/>
        </w:rPr>
        <w:t xml:space="preserve">Totalrevision </w:t>
      </w:r>
      <w:r w:rsidR="004A7974">
        <w:rPr>
          <w:sz w:val="20"/>
          <w:szCs w:val="20"/>
        </w:rPr>
        <w:t xml:space="preserve">des kantonalen </w:t>
      </w:r>
      <w:r w:rsidR="002B5259">
        <w:rPr>
          <w:sz w:val="20"/>
          <w:szCs w:val="20"/>
        </w:rPr>
        <w:t>Bürgerrechtsgesetz</w:t>
      </w:r>
      <w:r w:rsidR="004A7974">
        <w:rPr>
          <w:sz w:val="20"/>
          <w:szCs w:val="20"/>
        </w:rPr>
        <w:t>es</w:t>
      </w:r>
      <w:r w:rsidRPr="00337990">
        <w:rPr>
          <w:sz w:val="20"/>
          <w:szCs w:val="20"/>
        </w:rPr>
        <w:t xml:space="preserve"> vom </w:t>
      </w:r>
      <w:r w:rsidR="00912AE8">
        <w:rPr>
          <w:sz w:val="20"/>
          <w:szCs w:val="20"/>
        </w:rPr>
        <w:t xml:space="preserve">10. </w:t>
      </w:r>
      <w:r w:rsidRPr="00337990">
        <w:rPr>
          <w:sz w:val="20"/>
          <w:szCs w:val="20"/>
        </w:rPr>
        <w:t>April 2019</w:t>
      </w:r>
    </w:p>
    <w:p w:rsidR="00451529" w:rsidRDefault="00451529" w:rsidP="00111247">
      <w:pPr>
        <w:pStyle w:val="00Vorgabetext"/>
      </w:pPr>
    </w:p>
    <w:p w:rsidR="00111247" w:rsidRDefault="00111247" w:rsidP="00A73524">
      <w:pPr>
        <w:pStyle w:val="00Vorgabetext"/>
        <w:sectPr w:rsidR="00111247" w:rsidSect="00AE72F5">
          <w:headerReference w:type="default" r:id="rId8"/>
          <w:headerReference w:type="first" r:id="rId9"/>
          <w:footerReference w:type="first" r:id="rId10"/>
          <w:type w:val="oddPage"/>
          <w:pgSz w:w="11906" w:h="16838" w:code="9"/>
          <w:pgMar w:top="3061" w:right="1417" w:bottom="1701" w:left="1984" w:header="2993" w:footer="709" w:gutter="0"/>
          <w:cols w:space="708"/>
          <w:titlePg/>
          <w:docGrid w:linePitch="360"/>
        </w:sectPr>
      </w:pPr>
      <w:bookmarkStart w:id="0" w:name="_Ref127266544"/>
    </w:p>
    <w:p w:rsidR="00AE72F5" w:rsidRDefault="00AE72F5" w:rsidP="00102381">
      <w:pPr>
        <w:pStyle w:val="35Titel2"/>
      </w:pPr>
      <w:bookmarkStart w:id="1" w:name="_Toc6405551"/>
      <w:bookmarkEnd w:id="0"/>
      <w:r>
        <w:lastRenderedPageBreak/>
        <w:t>Bedeutung des Bürgerrechts</w:t>
      </w:r>
      <w:bookmarkEnd w:id="1"/>
    </w:p>
    <w:p w:rsidR="00B5370F" w:rsidRPr="000F745F" w:rsidRDefault="00B5370F" w:rsidP="00B5370F">
      <w:pPr>
        <w:pStyle w:val="00Vorgabetext"/>
      </w:pPr>
      <w:r w:rsidRPr="000F745F">
        <w:t xml:space="preserve">Das Bürgerrecht spielt im Leben eines Menschen eine wichtige Rolle. Es ist prägend für die </w:t>
      </w:r>
      <w:r w:rsidRPr="00320924">
        <w:rPr>
          <w:b/>
        </w:rPr>
        <w:t>Identität und das Selbstverständnis</w:t>
      </w:r>
      <w:r w:rsidRPr="000F745F">
        <w:t xml:space="preserve"> jedes Einzelnen und hat eine starke emotionale und symbolische Bedeutung</w:t>
      </w:r>
      <w:r w:rsidRPr="000F745F">
        <w:rPr>
          <w:rStyle w:val="Funotenzeichen"/>
          <w:rFonts w:eastAsiaTheme="majorEastAsia"/>
        </w:rPr>
        <w:footnoteReference w:id="1"/>
      </w:r>
      <w:r w:rsidR="00393D45">
        <w:t>. Das Schweizer Bürgerrecht</w:t>
      </w:r>
      <w:r w:rsidRPr="000F745F">
        <w:t xml:space="preserve"> ist Voraussetzung für die Ausübung der politischen Rechte in Bund, Kanton und Gemeinde. Da die Schweiz eine direkte Demokratie </w:t>
      </w:r>
      <w:r>
        <w:t>ist</w:t>
      </w:r>
      <w:r w:rsidRPr="000F745F">
        <w:t xml:space="preserve">, hat die Einbürgerung </w:t>
      </w:r>
      <w:r>
        <w:t xml:space="preserve">– </w:t>
      </w:r>
      <w:r w:rsidRPr="000F745F">
        <w:t xml:space="preserve">als Aufnahme in den Kreis der Stimmberechtigten </w:t>
      </w:r>
      <w:r>
        <w:t xml:space="preserve">– </w:t>
      </w:r>
      <w:r w:rsidRPr="000F745F">
        <w:t>eine wichtige staats- und gesellschaftspolitische Bedeutung.</w:t>
      </w:r>
      <w:r w:rsidRPr="00BC67A4">
        <w:t xml:space="preserve"> </w:t>
      </w:r>
    </w:p>
    <w:p w:rsidR="00B5370F" w:rsidRPr="000F745F" w:rsidRDefault="00B5370F" w:rsidP="00B5370F">
      <w:pPr>
        <w:pStyle w:val="00Vorgabetext"/>
      </w:pPr>
      <w:r w:rsidRPr="000F745F">
        <w:t>Neben dem Stimm- und Wahlrecht</w:t>
      </w:r>
      <w:r>
        <w:t xml:space="preserve"> verleiht das Bürgerrecht</w:t>
      </w:r>
      <w:r w:rsidRPr="000F745F">
        <w:t xml:space="preserve"> weitere</w:t>
      </w:r>
      <w:r>
        <w:t xml:space="preserve"> Rechte, so der </w:t>
      </w:r>
      <w:r w:rsidRPr="000F745F">
        <w:t>diplo</w:t>
      </w:r>
      <w:r>
        <w:t>matische Schutz im Ausland, der Schutz vor Ausweisung, Auslieferung oder Ausschaffung (Art. 25 BV) und die Niederlassungsfreiheit (Art. 24 BV). Gleichzeitig beinhaltet das Bürgerrecht Pflichten, so für Männer die Pflicht zum Militär- oder</w:t>
      </w:r>
      <w:r w:rsidRPr="000F745F">
        <w:t xml:space="preserve"> </w:t>
      </w:r>
      <w:r w:rsidR="00134437">
        <w:t xml:space="preserve">zivilen </w:t>
      </w:r>
      <w:r w:rsidR="00F236A7">
        <w:t>Ersatzdienst</w:t>
      </w:r>
      <w:r>
        <w:t xml:space="preserve"> (Art. 59 BV)</w:t>
      </w:r>
      <w:r w:rsidRPr="000F745F">
        <w:t xml:space="preserve">. Im Übrigen sind die rechtlichen Unterschiede zwischen Schweizer Bürgerinnen und Bürgern und in der Schweiz niedergelassenen Ausländerinnen und Ausländern in den letzten Jahren laufend kleiner geworden. </w:t>
      </w:r>
    </w:p>
    <w:p w:rsidR="00B5370F" w:rsidRDefault="00B5370F" w:rsidP="00B5370F">
      <w:pPr>
        <w:pStyle w:val="00Vorgabetext"/>
      </w:pPr>
      <w:r w:rsidRPr="001015E5">
        <w:t xml:space="preserve">Das Schweizer Verfassungsrecht kennt ein </w:t>
      </w:r>
      <w:r w:rsidRPr="00320924">
        <w:rPr>
          <w:b/>
        </w:rPr>
        <w:t>dreistufiges Bürgerrecht</w:t>
      </w:r>
      <w:r w:rsidRPr="001015E5">
        <w:t xml:space="preserve"> (Art. 37 Abs. 1 BV). Die </w:t>
      </w:r>
      <w:proofErr w:type="spellStart"/>
      <w:r w:rsidRPr="001015E5">
        <w:t>Dreistufigkeit</w:t>
      </w:r>
      <w:proofErr w:type="spellEnd"/>
      <w:r w:rsidRPr="001015E5">
        <w:t xml:space="preserve"> beruht auf der historischen Entwicklung des Bundesstaates und ist Ausdruck der föderalen Struktur der Schweiz. Jede Schweizerin und jeder Schweizer verfügt über ein Gemeindebürgerrecht, ein Kantonsbürgerrecht und das Schweizer Bürgerrecht. </w:t>
      </w:r>
      <w:r w:rsidR="00CD57BB">
        <w:t>Diese</w:t>
      </w:r>
      <w:r w:rsidR="0013687D">
        <w:t xml:space="preserve"> drei Bürgerrechte</w:t>
      </w:r>
      <w:r w:rsidR="00CD57BB">
        <w:t xml:space="preserve"> bilden eine untrennbare Einheit: </w:t>
      </w:r>
      <w:r w:rsidR="0044474A">
        <w:t>Ohne Kanton</w:t>
      </w:r>
      <w:r w:rsidR="003A2BDB">
        <w:t xml:space="preserve">sbürgerrecht gibt es kein </w:t>
      </w:r>
      <w:r w:rsidR="0044474A">
        <w:t>Schweizer Bürgerrecht und ohne</w:t>
      </w:r>
      <w:r w:rsidR="003A2BDB">
        <w:t xml:space="preserve"> Gemeindebürgerrecht kein Kantonsbürgerrecht.</w:t>
      </w:r>
    </w:p>
    <w:p w:rsidR="00BC676A" w:rsidRPr="00B5370F" w:rsidRDefault="00D51ABE" w:rsidP="00B5370F">
      <w:pPr>
        <w:pStyle w:val="00Vorgabetext"/>
      </w:pPr>
      <w:r w:rsidRPr="00E6747C">
        <w:t>Die Rechtsfolgen der Einbürgerung knüpfen am Schweizer Bürgerrecht an und zeigen sich überwiegend au</w:t>
      </w:r>
      <w:r w:rsidR="000C17A9" w:rsidRPr="00E6747C">
        <w:t>f bundesrechtlicher Ebene; die rechtliche</w:t>
      </w:r>
      <w:r w:rsidRPr="00E6747C">
        <w:t xml:space="preserve"> Bedeutung des Gemeinde- und Kantonsbürgerrechts tritt demgegenüber in den Hintergrund</w:t>
      </w:r>
      <w:r w:rsidR="005A0247" w:rsidRPr="00E6747C">
        <w:rPr>
          <w:rStyle w:val="Funotenzeichen"/>
        </w:rPr>
        <w:footnoteReference w:id="2"/>
      </w:r>
      <w:r w:rsidRPr="00E6747C">
        <w:t xml:space="preserve">. </w:t>
      </w:r>
      <w:r w:rsidRPr="00E6747C">
        <w:rPr>
          <w:rFonts w:asciiTheme="minorHAnsi" w:eastAsiaTheme="minorHAnsi" w:hAnsiTheme="minorHAnsi" w:cstheme="minorHAnsi"/>
          <w:lang w:eastAsia="en-US"/>
        </w:rPr>
        <w:t>Die Beziehung zwischen den Heimatorten beziehungsweise den Heimatkantonen und ihren Bürgerinnen und Bürgern hat in den letzten Jahrzehnten stark an Bedeutung verloren.</w:t>
      </w:r>
      <w:r w:rsidR="005A0247" w:rsidRPr="00E6747C">
        <w:rPr>
          <w:rFonts w:asciiTheme="minorHAnsi" w:eastAsiaTheme="minorHAnsi" w:hAnsiTheme="minorHAnsi" w:cstheme="minorHAnsi"/>
          <w:lang w:eastAsia="en-US"/>
        </w:rPr>
        <w:t xml:space="preserve"> </w:t>
      </w:r>
      <w:r w:rsidRPr="00E6747C">
        <w:rPr>
          <w:rFonts w:asciiTheme="minorHAnsi" w:eastAsiaTheme="minorHAnsi" w:hAnsiTheme="minorHAnsi" w:cstheme="minorHAnsi"/>
          <w:lang w:eastAsia="en-US"/>
        </w:rPr>
        <w:t>Im Bereich der Sozialhilfe ist der Übergang vom Heimat- zum Wohnortprinzip mittlerweile vollständig umgesetzt</w:t>
      </w:r>
      <w:r w:rsidRPr="00E6747C">
        <w:rPr>
          <w:rStyle w:val="Funotenzeichen"/>
          <w:rFonts w:asciiTheme="minorHAnsi" w:eastAsiaTheme="minorHAnsi" w:hAnsiTheme="minorHAnsi" w:cstheme="minorHAnsi"/>
          <w:lang w:eastAsia="en-US"/>
        </w:rPr>
        <w:footnoteReference w:id="3"/>
      </w:r>
      <w:r w:rsidR="009978F3" w:rsidRPr="00E6747C">
        <w:rPr>
          <w:rFonts w:asciiTheme="minorHAnsi" w:eastAsiaTheme="minorHAnsi" w:hAnsiTheme="minorHAnsi" w:cstheme="minorHAnsi"/>
          <w:lang w:eastAsia="en-US"/>
        </w:rPr>
        <w:t>.</w:t>
      </w:r>
      <w:r w:rsidR="005A0247">
        <w:rPr>
          <w:rFonts w:asciiTheme="minorHAnsi" w:eastAsiaTheme="minorHAnsi" w:hAnsiTheme="minorHAnsi" w:cstheme="minorHAnsi"/>
          <w:lang w:eastAsia="en-US"/>
        </w:rPr>
        <w:t xml:space="preserve"> </w:t>
      </w:r>
    </w:p>
    <w:p w:rsidR="00AE72F5" w:rsidRDefault="00AE72F5" w:rsidP="00102381">
      <w:pPr>
        <w:pStyle w:val="35Titel2"/>
      </w:pPr>
      <w:bookmarkStart w:id="2" w:name="_Toc6405552"/>
      <w:r>
        <w:t>Auslöser der Revision</w:t>
      </w:r>
      <w:bookmarkEnd w:id="2"/>
    </w:p>
    <w:p w:rsidR="00B5370F" w:rsidRPr="00DD017A" w:rsidRDefault="00B5370F" w:rsidP="00B5370F">
      <w:pPr>
        <w:pStyle w:val="00Vorgabetext"/>
      </w:pPr>
      <w:r w:rsidRPr="00B0673C">
        <w:t>Der Bund hat die Rechtsgrundlagen für die Erteilung des Schweizer Bürgerrechts vollständig überarbeitet. Das totalrevidierte Bundesgesetz über das Schweizer B</w:t>
      </w:r>
      <w:r w:rsidR="00061BED">
        <w:t>ürgerrecht (</w:t>
      </w:r>
      <w:proofErr w:type="spellStart"/>
      <w:r w:rsidR="00061BED">
        <w:t>BüG</w:t>
      </w:r>
      <w:proofErr w:type="spellEnd"/>
      <w:r w:rsidRPr="00DD017A">
        <w:t>) wurde vom Parlament am 20. Juni 2014 beschlossen. Gestützt darauf hat der Bundesrat am 17. Juni 2016 die Verordnung über das Schweizer Bürge</w:t>
      </w:r>
      <w:r w:rsidR="00061BED">
        <w:t>rrecht (</w:t>
      </w:r>
      <w:proofErr w:type="spellStart"/>
      <w:r w:rsidR="00061BED">
        <w:t>BüV</w:t>
      </w:r>
      <w:proofErr w:type="spellEnd"/>
      <w:r w:rsidRPr="00DD017A">
        <w:t xml:space="preserve">) verabschiedet. Die neuen Rechtsgrundlagen sind seit dem 1. Januar 2018 in Kraft. </w:t>
      </w:r>
    </w:p>
    <w:p w:rsidR="00B5370F" w:rsidRPr="00DD017A" w:rsidRDefault="00B5370F" w:rsidP="00B5370F">
      <w:pPr>
        <w:pStyle w:val="00Vorgabetext"/>
      </w:pPr>
      <w:r w:rsidRPr="00DD017A">
        <w:t xml:space="preserve">Das neue Bundesrecht erfordert eine grundlegende Überarbeitung der kantonalen Bürgerrechtsbestimmungen; diese erfolgte in einem </w:t>
      </w:r>
      <w:r w:rsidRPr="00DD017A">
        <w:rPr>
          <w:b/>
        </w:rPr>
        <w:t>ersten Schritt</w:t>
      </w:r>
      <w:r w:rsidRPr="00DD017A">
        <w:t xml:space="preserve"> durch die Totalrevision der kantonalen Bürgerr</w:t>
      </w:r>
      <w:r w:rsidR="00061BED">
        <w:t>echtsverordnung (</w:t>
      </w:r>
      <w:proofErr w:type="spellStart"/>
      <w:r w:rsidR="00061BED">
        <w:t>KBüV</w:t>
      </w:r>
      <w:proofErr w:type="spellEnd"/>
      <w:r w:rsidRPr="00DD017A">
        <w:t>), die</w:t>
      </w:r>
      <w:r w:rsidR="00061BED">
        <w:t xml:space="preserve"> </w:t>
      </w:r>
      <w:r w:rsidR="00F745B0">
        <w:t xml:space="preserve">am 23. August 2017 vom Regierungsrat </w:t>
      </w:r>
      <w:r w:rsidR="00F745B0">
        <w:lastRenderedPageBreak/>
        <w:t>beschlossen und</w:t>
      </w:r>
      <w:r w:rsidRPr="00DD017A">
        <w:t xml:space="preserve"> zeitgleich mit dem neuen Bundesrecht auf den 1. Januar 2018 in Kraft gesetzt wurde.</w:t>
      </w:r>
      <w:r w:rsidR="00013B5F">
        <w:t xml:space="preserve"> </w:t>
      </w:r>
      <w:r w:rsidR="00013B5F" w:rsidRPr="00E6747C">
        <w:t>Die</w:t>
      </w:r>
      <w:r w:rsidR="0048393A" w:rsidRPr="00E6747C">
        <w:t xml:space="preserve"> Anpassung </w:t>
      </w:r>
      <w:r w:rsidR="00013B5F" w:rsidRPr="00E6747C">
        <w:t>der Bürgerrechtsverordnung</w:t>
      </w:r>
      <w:r w:rsidR="0048393A" w:rsidRPr="00E6747C">
        <w:t xml:space="preserve"> an das neue Bundesrecht </w:t>
      </w:r>
      <w:r w:rsidR="00013B5F" w:rsidRPr="00E6747C">
        <w:t>war zeit</w:t>
      </w:r>
      <w:r w:rsidR="003B6241" w:rsidRPr="00E6747C">
        <w:t>lich drin</w:t>
      </w:r>
      <w:r w:rsidR="008F396D">
        <w:t>glich, da</w:t>
      </w:r>
      <w:r w:rsidR="0048393A" w:rsidRPr="00E6747C">
        <w:t xml:space="preserve"> Rechtsunsicherheit</w:t>
      </w:r>
      <w:r w:rsidR="0060232B" w:rsidRPr="00E6747C">
        <w:t>en</w:t>
      </w:r>
      <w:r w:rsidR="0048393A" w:rsidRPr="00E6747C">
        <w:t xml:space="preserve"> und Vollzugsprobleme</w:t>
      </w:r>
      <w:r w:rsidR="008F396D">
        <w:t xml:space="preserve"> vermieden werden mussten und die zur Verfügung stehende Zeit für die Totalrevision des kantonalen Bürgerrechtsgesetzes nicht ausreichte. </w:t>
      </w:r>
    </w:p>
    <w:p w:rsidR="00B5370F" w:rsidRDefault="00B5370F" w:rsidP="00B5370F">
      <w:pPr>
        <w:pStyle w:val="00Vorgabetext"/>
        <w:tabs>
          <w:tab w:val="clear" w:pos="397"/>
          <w:tab w:val="clear" w:pos="794"/>
          <w:tab w:val="clear" w:pos="1191"/>
          <w:tab w:val="left" w:pos="284"/>
        </w:tabs>
        <w:rPr>
          <w:rFonts w:cs="Arial"/>
        </w:rPr>
      </w:pPr>
      <w:r w:rsidRPr="00DD017A">
        <w:t xml:space="preserve">In einem </w:t>
      </w:r>
      <w:r w:rsidRPr="00DD017A">
        <w:rPr>
          <w:b/>
        </w:rPr>
        <w:t>zweiten Schritt</w:t>
      </w:r>
      <w:r w:rsidR="008F396D">
        <w:t xml:space="preserve"> ist nun das</w:t>
      </w:r>
      <w:r w:rsidRPr="00DD017A">
        <w:t xml:space="preserve"> kantonale Ge</w:t>
      </w:r>
      <w:r w:rsidR="00F745B0">
        <w:t>setz über das Bürgerrecht (</w:t>
      </w:r>
      <w:proofErr w:type="spellStart"/>
      <w:r w:rsidR="00F745B0">
        <w:t>KBüG</w:t>
      </w:r>
      <w:proofErr w:type="spellEnd"/>
      <w:r w:rsidR="00EA271B">
        <w:t>) an die</w:t>
      </w:r>
      <w:r w:rsidR="008F396D">
        <w:t xml:space="preserve"> neuen Rahmenbedingungen</w:t>
      </w:r>
      <w:r w:rsidRPr="00B0673C">
        <w:t xml:space="preserve"> anzupassen. Dieses Gesetz beinhaltet die </w:t>
      </w:r>
      <w:r w:rsidRPr="00B0673C">
        <w:rPr>
          <w:rFonts w:cs="Arial"/>
        </w:rPr>
        <w:t xml:space="preserve">bürgerrechtlichen Bestimmungen des alten Gemeindegesetzes vom 6. Juni 1926, das Ende 2017 aufgehoben und durch das Gemeindegesetz vom 20. </w:t>
      </w:r>
      <w:r w:rsidR="00F745B0">
        <w:rPr>
          <w:rFonts w:cs="Arial"/>
        </w:rPr>
        <w:t>A</w:t>
      </w:r>
      <w:r w:rsidR="008F396D">
        <w:rPr>
          <w:rFonts w:cs="Arial"/>
        </w:rPr>
        <w:t xml:space="preserve">pril 2015 ersetzt wurde. Die </w:t>
      </w:r>
      <w:r w:rsidRPr="00B0673C">
        <w:rPr>
          <w:rFonts w:cs="Arial"/>
        </w:rPr>
        <w:t xml:space="preserve">Bestimmungen des </w:t>
      </w:r>
      <w:proofErr w:type="spellStart"/>
      <w:r w:rsidRPr="00B0673C">
        <w:rPr>
          <w:rFonts w:cs="Arial"/>
        </w:rPr>
        <w:t>KBüG</w:t>
      </w:r>
      <w:proofErr w:type="spellEnd"/>
      <w:r w:rsidRPr="00B0673C">
        <w:rPr>
          <w:rFonts w:cs="Arial"/>
        </w:rPr>
        <w:t xml:space="preserve"> sind sowohl in inhaltlicher als auch in systematische Hinsicht veraltet, widersprechen teilweise dem Bundesrecht und müssen deshalb durch zeitgemässe Rechtsnormen ersetzt werden.</w:t>
      </w:r>
    </w:p>
    <w:p w:rsidR="00B5370F" w:rsidRPr="00B5370F" w:rsidRDefault="006D01B0" w:rsidP="00B5370F">
      <w:pPr>
        <w:pStyle w:val="00Vorgabetext"/>
      </w:pPr>
      <w:r>
        <w:t>Das neue Bundesrecht</w:t>
      </w:r>
      <w:r w:rsidR="00B5370F" w:rsidRPr="00B5370F">
        <w:t xml:space="preserve"> regelt die Einbürge</w:t>
      </w:r>
      <w:r w:rsidR="008F396D">
        <w:t>rungsvoraussetzungen ausführlich</w:t>
      </w:r>
      <w:r w:rsidR="00B5370F" w:rsidRPr="00B5370F">
        <w:t>. Die Einbürgerungskriterien des Bundes können von den Kantonen und Gemeinden im Wesentlichen direkt angewendet werden. Der kantonalen Gesetzgebung kommt noch dort eine eigenständige</w:t>
      </w:r>
      <w:r w:rsidR="00F745B0">
        <w:t xml:space="preserve"> Bedeutung zu, wo der Kanton eigene</w:t>
      </w:r>
      <w:r w:rsidR="00B5370F" w:rsidRPr="00B5370F">
        <w:t xml:space="preserve"> I</w:t>
      </w:r>
      <w:r w:rsidR="00F745B0">
        <w:t>ntegrationskriterien vorsehen</w:t>
      </w:r>
      <w:r w:rsidR="00B5370F" w:rsidRPr="00B5370F">
        <w:t xml:space="preserve"> will sowie bei der Regelung des Verfahren</w:t>
      </w:r>
      <w:r w:rsidR="00F745B0">
        <w:t>s</w:t>
      </w:r>
      <w:r w:rsidR="00B5370F" w:rsidRPr="00B5370F">
        <w:t xml:space="preserve">. Das Bundesgericht hat mit Blick auf die Totalrevision des Bundesrechts festgehalten, dass der Spielraum für die Kantone zwar kleiner, </w:t>
      </w:r>
      <w:r w:rsidR="00F745B0">
        <w:t>nicht aber ganz aufgehoben wird</w:t>
      </w:r>
      <w:r w:rsidR="00B5370F" w:rsidRPr="00B5370F">
        <w:rPr>
          <w:vertAlign w:val="superscript"/>
        </w:rPr>
        <w:footnoteReference w:id="4"/>
      </w:r>
      <w:r w:rsidR="00B5370F" w:rsidRPr="00B5370F">
        <w:t>.</w:t>
      </w:r>
    </w:p>
    <w:p w:rsidR="00B463EC" w:rsidRDefault="00AE72F5" w:rsidP="00102381">
      <w:pPr>
        <w:pStyle w:val="35Titel2"/>
      </w:pPr>
      <w:bookmarkStart w:id="3" w:name="_Toc6405553"/>
      <w:r>
        <w:t>Ausgangslage</w:t>
      </w:r>
      <w:bookmarkEnd w:id="3"/>
    </w:p>
    <w:p w:rsidR="00AE72F5" w:rsidRDefault="00AE72F5" w:rsidP="00DA6321">
      <w:pPr>
        <w:pStyle w:val="36Titel3"/>
      </w:pPr>
      <w:bookmarkStart w:id="4" w:name="_Toc6405554"/>
      <w:r>
        <w:t>Vorgaben des Bundesrechts</w:t>
      </w:r>
      <w:bookmarkEnd w:id="4"/>
    </w:p>
    <w:p w:rsidR="00D520FA" w:rsidRDefault="00B5370F" w:rsidP="00B5370F">
      <w:pPr>
        <w:pStyle w:val="00Vorgabetext"/>
      </w:pPr>
      <w:r>
        <w:t xml:space="preserve">Bei der </w:t>
      </w:r>
      <w:r w:rsidRPr="00982147">
        <w:t>ordentlichen Einbürgerung von Ausländerinnen und Ausländern sind die Rechtsetzungskompetenzen zwisch</w:t>
      </w:r>
      <w:r w:rsidR="00F553ED">
        <w:t xml:space="preserve">en Bund und Kantonen aufgeteilt. </w:t>
      </w:r>
      <w:r w:rsidR="00AE247A">
        <w:t xml:space="preserve">Gemäss </w:t>
      </w:r>
      <w:r w:rsidRPr="00982147">
        <w:t>Art. 3</w:t>
      </w:r>
      <w:r w:rsidR="00AE247A">
        <w:t xml:space="preserve">8 Abs. 2 der Bundesverfassung </w:t>
      </w:r>
      <w:r w:rsidR="00AE247A" w:rsidRPr="00982147">
        <w:t>erlässt</w:t>
      </w:r>
      <w:r w:rsidR="00AE247A">
        <w:t xml:space="preserve"> der Bund</w:t>
      </w:r>
      <w:r w:rsidR="00AE247A" w:rsidRPr="00982147">
        <w:t xml:space="preserve"> Mindestvorschriften und erteil</w:t>
      </w:r>
      <w:r w:rsidR="00AE247A">
        <w:t>t die Einbürgerungsbewilligung.</w:t>
      </w:r>
      <w:r w:rsidR="00AE247A" w:rsidRPr="00AE247A">
        <w:t xml:space="preserve"> </w:t>
      </w:r>
      <w:r w:rsidR="00AE247A">
        <w:t xml:space="preserve">Heute ist zudem anerkannt, dass der Bund nicht bloss Mindestvorschriften erlässt, </w:t>
      </w:r>
      <w:r w:rsidR="008C0188">
        <w:t xml:space="preserve">sondern </w:t>
      </w:r>
      <w:r w:rsidR="00AE247A">
        <w:t xml:space="preserve">im Sinne einer </w:t>
      </w:r>
      <w:r w:rsidR="008C0188">
        <w:t>einheitlichen</w:t>
      </w:r>
      <w:r w:rsidR="00AE247A">
        <w:t xml:space="preserve"> </w:t>
      </w:r>
      <w:r w:rsidR="008C0188">
        <w:t>gesamtschweizerischen Einbürgerungspraxis gegenüber den Kantonen ver</w:t>
      </w:r>
      <w:r w:rsidR="006347A4">
        <w:t>bindliche Grundsätze erlässt</w:t>
      </w:r>
      <w:r w:rsidR="00AE247A">
        <w:rPr>
          <w:vertAlign w:val="superscript"/>
        </w:rPr>
        <w:footnoteReference w:id="5"/>
      </w:r>
      <w:r w:rsidR="008C0188">
        <w:t>. Dies schliesst auch die Festlegung von</w:t>
      </w:r>
      <w:r w:rsidR="006D01B0">
        <w:t xml:space="preserve"> Maximalvorschriften </w:t>
      </w:r>
      <w:r w:rsidR="00131857">
        <w:t xml:space="preserve">mit </w:t>
      </w:r>
      <w:r w:rsidR="008C0188">
        <w:t>ein</w:t>
      </w:r>
      <w:r w:rsidR="00AE247A">
        <w:rPr>
          <w:vertAlign w:val="superscript"/>
        </w:rPr>
        <w:footnoteReference w:id="6"/>
      </w:r>
      <w:r w:rsidR="00AE247A">
        <w:t xml:space="preserve">. </w:t>
      </w:r>
    </w:p>
    <w:p w:rsidR="00B5370F" w:rsidRPr="00982147" w:rsidRDefault="00B5370F" w:rsidP="00B5370F">
      <w:pPr>
        <w:pStyle w:val="00Vorgabetext"/>
      </w:pPr>
      <w:r w:rsidRPr="00982147">
        <w:t xml:space="preserve">Die Einbürgerung von Ausländerinnen und Ausländern ist nur gültig, wenn die Einbürgerungsbewilligung der zuständigen Bundesbehörde vorliegt. Erfüllt eine Bewerberin oder ein Bewerber nicht alle bundesrechtlichen Voraussetzungen, erteilt der Bund die Einbürgerungsbewilligung nicht, was im Ergebnis bedeutet, dass die Einbürgerung in Kanton und Gemeinde nicht zustande kommt. </w:t>
      </w:r>
    </w:p>
    <w:p w:rsidR="00B5370F" w:rsidRPr="00982147" w:rsidRDefault="00B5370F" w:rsidP="00B5370F">
      <w:pPr>
        <w:pStyle w:val="00Vorgabetext"/>
      </w:pPr>
      <w:r w:rsidRPr="00982147">
        <w:t>Den Kantonen stehen bei der ordentlichen Einbürgerung von Ausländerinnen und Ausländern die folgenden Rechtsetzungskompetenzen zu:</w:t>
      </w:r>
    </w:p>
    <w:p w:rsidR="00B5370F" w:rsidRDefault="00B5370F" w:rsidP="00B5370F">
      <w:pPr>
        <w:tabs>
          <w:tab w:val="left" w:pos="284"/>
        </w:tabs>
        <w:autoSpaceDE w:val="0"/>
        <w:autoSpaceDN w:val="0"/>
        <w:adjustRightInd w:val="0"/>
        <w:ind w:left="284" w:hanging="284"/>
        <w:rPr>
          <w:rFonts w:cs="Arial"/>
        </w:rPr>
      </w:pPr>
      <w:r>
        <w:rPr>
          <w:rFonts w:asciiTheme="minorHAnsi" w:hAnsiTheme="minorHAnsi" w:cstheme="minorHAnsi"/>
        </w:rPr>
        <w:lastRenderedPageBreak/>
        <w:t>-</w:t>
      </w:r>
      <w:r>
        <w:rPr>
          <w:rFonts w:asciiTheme="minorHAnsi" w:hAnsiTheme="minorHAnsi" w:cstheme="minorHAnsi"/>
        </w:rPr>
        <w:tab/>
      </w:r>
      <w:r>
        <w:rPr>
          <w:rFonts w:cs="Arial"/>
        </w:rPr>
        <w:t xml:space="preserve">Die Kantone können weitere Integrationskriterien vorsehen (Art. 12 Abs. 3 </w:t>
      </w:r>
      <w:proofErr w:type="spellStart"/>
      <w:r>
        <w:rPr>
          <w:rFonts w:cs="Arial"/>
        </w:rPr>
        <w:t>BüG</w:t>
      </w:r>
      <w:proofErr w:type="spellEnd"/>
      <w:r>
        <w:rPr>
          <w:rFonts w:cs="Arial"/>
        </w:rPr>
        <w:t>).  Diese dürfen aber weder diskriminierend noch prohibitiv sein</w:t>
      </w:r>
      <w:r>
        <w:rPr>
          <w:rStyle w:val="Funotenzeichen"/>
          <w:rFonts w:cs="Arial"/>
        </w:rPr>
        <w:footnoteReference w:id="7"/>
      </w:r>
      <w:r>
        <w:rPr>
          <w:rFonts w:cs="Arial"/>
        </w:rPr>
        <w:t xml:space="preserve">. Die Kantone müssen dabei das übergeordnete Recht und die einschlägigen verfassungsmässigen Grundsätze und Grundrechte respektieren. </w:t>
      </w:r>
    </w:p>
    <w:p w:rsidR="00B5370F" w:rsidRDefault="00B5370F" w:rsidP="00B5370F">
      <w:pPr>
        <w:tabs>
          <w:tab w:val="left" w:pos="284"/>
        </w:tabs>
        <w:autoSpaceDE w:val="0"/>
        <w:autoSpaceDN w:val="0"/>
        <w:adjustRightInd w:val="0"/>
        <w:ind w:left="284" w:hanging="284"/>
        <w:rPr>
          <w:rFonts w:cs="Arial"/>
        </w:rPr>
      </w:pPr>
      <w:r>
        <w:rPr>
          <w:rFonts w:cs="Arial"/>
        </w:rPr>
        <w:t>-</w:t>
      </w:r>
      <w:r>
        <w:rPr>
          <w:rFonts w:cs="Arial"/>
        </w:rPr>
        <w:tab/>
        <w:t xml:space="preserve">Die kantonale Gesetzgebung hat die Mindestaufenthaltsdauer im Kanton und in den Gemeinden zu regeln, wobei das Bundesrecht den Rahmen vorgibt. Gemäss Art. 18 </w:t>
      </w:r>
      <w:proofErr w:type="spellStart"/>
      <w:r>
        <w:rPr>
          <w:rFonts w:cs="Arial"/>
        </w:rPr>
        <w:t>BüG</w:t>
      </w:r>
      <w:proofErr w:type="spellEnd"/>
      <w:r>
        <w:rPr>
          <w:rFonts w:cs="Arial"/>
        </w:rPr>
        <w:t xml:space="preserve"> beträgt die Mindestaufenthaltsdauer mindestens zwei und längstens fünf Jahre.</w:t>
      </w:r>
    </w:p>
    <w:p w:rsidR="004C5AB0" w:rsidRPr="00B5370F" w:rsidRDefault="00B5370F" w:rsidP="00BD24FD">
      <w:pPr>
        <w:tabs>
          <w:tab w:val="left" w:pos="284"/>
        </w:tabs>
        <w:autoSpaceDE w:val="0"/>
        <w:autoSpaceDN w:val="0"/>
        <w:adjustRightInd w:val="0"/>
        <w:ind w:left="284" w:hanging="284"/>
        <w:rPr>
          <w:rFonts w:cs="Arial"/>
        </w:rPr>
      </w:pPr>
      <w:r>
        <w:rPr>
          <w:rFonts w:cs="Arial"/>
        </w:rPr>
        <w:t>-</w:t>
      </w:r>
      <w:r>
        <w:rPr>
          <w:rFonts w:cs="Arial"/>
        </w:rPr>
        <w:tab/>
        <w:t xml:space="preserve">Die Kantone sind zuständig, das Verfahren im Kanton und in der Gemeinde zu regeln (Art. 15 Abs. 1 </w:t>
      </w:r>
      <w:proofErr w:type="spellStart"/>
      <w:r>
        <w:rPr>
          <w:rFonts w:cs="Arial"/>
        </w:rPr>
        <w:t>BüG</w:t>
      </w:r>
      <w:proofErr w:type="spellEnd"/>
      <w:r>
        <w:rPr>
          <w:rFonts w:cs="Arial"/>
        </w:rPr>
        <w:t>).</w:t>
      </w:r>
    </w:p>
    <w:p w:rsidR="00AE72F5" w:rsidRDefault="00AE72F5" w:rsidP="00DA6321">
      <w:pPr>
        <w:pStyle w:val="36Titel3"/>
      </w:pPr>
      <w:bookmarkStart w:id="5" w:name="_Toc6405555"/>
      <w:r>
        <w:t>Inhalt des Bundesrechts</w:t>
      </w:r>
      <w:bookmarkEnd w:id="5"/>
    </w:p>
    <w:p w:rsidR="004D657F" w:rsidRDefault="00E02380" w:rsidP="00B5370F">
      <w:pPr>
        <w:pStyle w:val="00Vorgabetext"/>
      </w:pPr>
      <w:r w:rsidRPr="00E6747C">
        <w:t xml:space="preserve">Im </w:t>
      </w:r>
      <w:r w:rsidR="004D657F" w:rsidRPr="00E6747C">
        <w:t xml:space="preserve">internationalen Vergleich setzt die Schweiz bereits im </w:t>
      </w:r>
      <w:r w:rsidR="00DA7D23" w:rsidRPr="00E6747C">
        <w:t>bisherigen</w:t>
      </w:r>
      <w:r w:rsidR="004D657F" w:rsidRPr="00E6747C">
        <w:t xml:space="preserve"> Recht hohe Hürden für Einbürgerungen. Mit dem neuen B</w:t>
      </w:r>
      <w:r w:rsidR="00486064">
        <w:t>undesrecht haben</w:t>
      </w:r>
      <w:r w:rsidR="004D657F" w:rsidRPr="00E6747C">
        <w:t xml:space="preserve"> die Einbürgerun</w:t>
      </w:r>
      <w:r w:rsidR="00DA7D23" w:rsidRPr="00E6747C">
        <w:t>gsvoraussetzu</w:t>
      </w:r>
      <w:r w:rsidR="004D657F" w:rsidRPr="00E6747C">
        <w:t>n</w:t>
      </w:r>
      <w:r w:rsidR="00DA7D23" w:rsidRPr="00E6747C">
        <w:t>g</w:t>
      </w:r>
      <w:r w:rsidR="004D657F" w:rsidRPr="00E6747C">
        <w:t xml:space="preserve">en eine </w:t>
      </w:r>
      <w:r w:rsidR="00DA7D23" w:rsidRPr="00E6747C">
        <w:t>zusätzliche</w:t>
      </w:r>
      <w:r w:rsidR="004D657F" w:rsidRPr="00E6747C">
        <w:t xml:space="preserve"> </w:t>
      </w:r>
      <w:r w:rsidR="00DA7D23" w:rsidRPr="00E6747C">
        <w:t>Verschärfung</w:t>
      </w:r>
      <w:r w:rsidR="00486064">
        <w:t xml:space="preserve"> erfahren</w:t>
      </w:r>
      <w:r w:rsidR="004D657F" w:rsidRPr="00E6747C">
        <w:t xml:space="preserve"> und </w:t>
      </w:r>
      <w:r w:rsidR="00DA7D23" w:rsidRPr="00E6747C">
        <w:t>zwar</w:t>
      </w:r>
      <w:r w:rsidR="0073044E" w:rsidRPr="00E6747C">
        <w:t xml:space="preserve"> </w:t>
      </w:r>
      <w:r w:rsidR="00DA7D23" w:rsidRPr="00E6747C">
        <w:t>sowohl bei den formellen wie den materiellen Anforderungen</w:t>
      </w:r>
      <w:r w:rsidR="005C26AE" w:rsidRPr="00E6747C">
        <w:rPr>
          <w:rStyle w:val="Funotenzeichen"/>
        </w:rPr>
        <w:footnoteReference w:id="8"/>
      </w:r>
      <w:r w:rsidR="00DA7D23" w:rsidRPr="00E6747C">
        <w:t>.</w:t>
      </w:r>
    </w:p>
    <w:p w:rsidR="00B5370F" w:rsidRPr="00B5370F" w:rsidRDefault="00B5370F" w:rsidP="00B5370F">
      <w:pPr>
        <w:pStyle w:val="00Vorgabetext"/>
      </w:pPr>
      <w:r>
        <w:t>Der Bund regelt die Einbürgerungsvoraussetzungen</w:t>
      </w:r>
      <w:r w:rsidR="00CC7738">
        <w:rPr>
          <w:rStyle w:val="Funotenzeichen"/>
        </w:rPr>
        <w:footnoteReference w:id="9"/>
      </w:r>
      <w:r>
        <w:t xml:space="preserve"> auf Gesetzes- und Verordnungsebene wie folgt: </w:t>
      </w:r>
    </w:p>
    <w:p w:rsidR="00AE72F5" w:rsidRDefault="00AE72F5" w:rsidP="00DA6321">
      <w:pPr>
        <w:pStyle w:val="37Titel4"/>
        <w:rPr>
          <w:lang w:val="de-DE" w:eastAsia="en-US"/>
        </w:rPr>
      </w:pPr>
      <w:bookmarkStart w:id="6" w:name="_Toc6405556"/>
      <w:r>
        <w:rPr>
          <w:lang w:val="de-DE" w:eastAsia="en-US"/>
        </w:rPr>
        <w:t>Formelle Voraussetzungen</w:t>
      </w:r>
      <w:bookmarkEnd w:id="6"/>
    </w:p>
    <w:p w:rsidR="00B5370F" w:rsidRDefault="00B5370F" w:rsidP="00B5370F">
      <w:pPr>
        <w:tabs>
          <w:tab w:val="left" w:pos="284"/>
        </w:tabs>
        <w:autoSpaceDE w:val="0"/>
        <w:autoSpaceDN w:val="0"/>
        <w:adjustRightInd w:val="0"/>
        <w:ind w:left="284" w:hanging="284"/>
        <w:rPr>
          <w:rFonts w:cs="Arial"/>
        </w:rPr>
      </w:pPr>
      <w:r>
        <w:rPr>
          <w:rFonts w:asciiTheme="minorHAnsi" w:hAnsiTheme="minorHAnsi" w:cstheme="minorHAnsi"/>
        </w:rPr>
        <w:t>-</w:t>
      </w:r>
      <w:r>
        <w:rPr>
          <w:rFonts w:asciiTheme="minorHAnsi" w:hAnsiTheme="minorHAnsi" w:cstheme="minorHAnsi"/>
        </w:rPr>
        <w:tab/>
        <w:t xml:space="preserve">Für die Einreichung des Einbürgerungsgesuchs wird eine </w:t>
      </w:r>
      <w:r>
        <w:rPr>
          <w:rFonts w:asciiTheme="minorHAnsi" w:hAnsiTheme="minorHAnsi" w:cstheme="minorHAnsi"/>
          <w:b/>
        </w:rPr>
        <w:t xml:space="preserve">Niederlassungsbewilligung </w:t>
      </w:r>
      <w:r>
        <w:rPr>
          <w:rFonts w:asciiTheme="minorHAnsi" w:hAnsiTheme="minorHAnsi" w:cstheme="minorHAnsi"/>
        </w:rPr>
        <w:t xml:space="preserve">verlangt (Art. 9 Abs. 1 </w:t>
      </w:r>
      <w:proofErr w:type="spellStart"/>
      <w:r>
        <w:rPr>
          <w:rFonts w:asciiTheme="minorHAnsi" w:hAnsiTheme="minorHAnsi" w:cstheme="minorHAnsi"/>
        </w:rPr>
        <w:t>lit</w:t>
      </w:r>
      <w:proofErr w:type="spellEnd"/>
      <w:r>
        <w:rPr>
          <w:rFonts w:asciiTheme="minorHAnsi" w:hAnsiTheme="minorHAnsi" w:cstheme="minorHAnsi"/>
        </w:rPr>
        <w:t xml:space="preserve">. a </w:t>
      </w:r>
      <w:proofErr w:type="spellStart"/>
      <w:r>
        <w:rPr>
          <w:rFonts w:asciiTheme="minorHAnsi" w:hAnsiTheme="minorHAnsi" w:cstheme="minorHAnsi"/>
        </w:rPr>
        <w:t>BüG</w:t>
      </w:r>
      <w:proofErr w:type="spellEnd"/>
      <w:r>
        <w:rPr>
          <w:rFonts w:asciiTheme="minorHAnsi" w:hAnsiTheme="minorHAnsi" w:cstheme="minorHAnsi"/>
        </w:rPr>
        <w:t>). Diese Anknüpfung an ein spezifisches Aufenthaltsrecht ist neu für das Schweizer Bürgerrecht. Bei der Niederlassungsbewilligung handelt es sich um den stabilsten ausländerrechtlichen Status</w:t>
      </w:r>
      <w:r>
        <w:rPr>
          <w:rStyle w:val="Funotenzeichen"/>
          <w:rFonts w:asciiTheme="minorHAnsi" w:hAnsiTheme="minorHAnsi" w:cstheme="minorHAnsi"/>
        </w:rPr>
        <w:footnoteReference w:id="10"/>
      </w:r>
      <w:r>
        <w:rPr>
          <w:rFonts w:asciiTheme="minorHAnsi" w:hAnsiTheme="minorHAnsi" w:cstheme="minorHAnsi"/>
        </w:rPr>
        <w:t>, der bereits erhebliche Int</w:t>
      </w:r>
      <w:r w:rsidR="004C5AB0">
        <w:rPr>
          <w:rFonts w:asciiTheme="minorHAnsi" w:hAnsiTheme="minorHAnsi" w:cstheme="minorHAnsi"/>
        </w:rPr>
        <w:t>egrationsleistungen voraussetzt</w:t>
      </w:r>
      <w:r>
        <w:rPr>
          <w:rStyle w:val="Funotenzeichen"/>
          <w:rFonts w:asciiTheme="minorHAnsi" w:hAnsiTheme="minorHAnsi" w:cstheme="minorHAnsi"/>
        </w:rPr>
        <w:footnoteReference w:id="11"/>
      </w:r>
      <w:r>
        <w:rPr>
          <w:rFonts w:asciiTheme="minorHAnsi" w:hAnsiTheme="minorHAnsi" w:cstheme="minorHAnsi"/>
        </w:rPr>
        <w:t>.</w:t>
      </w:r>
      <w:r w:rsidR="00315DC3">
        <w:rPr>
          <w:rFonts w:asciiTheme="minorHAnsi" w:hAnsiTheme="minorHAnsi" w:cstheme="minorHAnsi"/>
        </w:rPr>
        <w:t xml:space="preserve"> </w:t>
      </w:r>
      <w:r w:rsidR="00315DC3" w:rsidRPr="00486064">
        <w:rPr>
          <w:rFonts w:asciiTheme="minorHAnsi" w:hAnsiTheme="minorHAnsi" w:cstheme="minorHAnsi"/>
        </w:rPr>
        <w:t>Das Erfordernis der Niederlassungsbewilligung C stellt gegenüber dem bisherigen Recht eine erhebliche Verschärfung</w:t>
      </w:r>
      <w:r w:rsidR="00486064" w:rsidRPr="00486064">
        <w:rPr>
          <w:rFonts w:asciiTheme="minorHAnsi" w:hAnsiTheme="minorHAnsi" w:cstheme="minorHAnsi"/>
        </w:rPr>
        <w:t xml:space="preserve"> dar</w:t>
      </w:r>
      <w:r w:rsidR="00990917" w:rsidRPr="00486064">
        <w:rPr>
          <w:rStyle w:val="Funotenzeichen"/>
          <w:rFonts w:asciiTheme="minorHAnsi" w:hAnsiTheme="minorHAnsi" w:cstheme="minorHAnsi"/>
        </w:rPr>
        <w:footnoteReference w:id="12"/>
      </w:r>
      <w:r w:rsidR="00315DC3" w:rsidRPr="00486064">
        <w:rPr>
          <w:rFonts w:asciiTheme="minorHAnsi" w:hAnsiTheme="minorHAnsi" w:cstheme="minorHAnsi"/>
        </w:rPr>
        <w:t>.</w:t>
      </w:r>
      <w:r w:rsidR="00315DC3">
        <w:rPr>
          <w:rFonts w:asciiTheme="minorHAnsi" w:hAnsiTheme="minorHAnsi" w:cstheme="minorHAnsi"/>
        </w:rPr>
        <w:t xml:space="preserve">  </w:t>
      </w:r>
      <w:r>
        <w:rPr>
          <w:rFonts w:asciiTheme="minorHAnsi" w:hAnsiTheme="minorHAnsi" w:cstheme="minorHAnsi"/>
        </w:rPr>
        <w:t xml:space="preserve"> </w:t>
      </w:r>
    </w:p>
    <w:p w:rsidR="00B5370F" w:rsidRDefault="00B5370F" w:rsidP="00B5370F">
      <w:pPr>
        <w:tabs>
          <w:tab w:val="left" w:pos="284"/>
        </w:tabs>
        <w:autoSpaceDE w:val="0"/>
        <w:autoSpaceDN w:val="0"/>
        <w:adjustRightInd w:val="0"/>
        <w:ind w:left="284" w:hanging="284"/>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Die Bewerberin oder der Bewerberin muss einen </w:t>
      </w:r>
      <w:r w:rsidRPr="00DD017A">
        <w:rPr>
          <w:rFonts w:asciiTheme="minorHAnsi" w:hAnsiTheme="minorHAnsi" w:cstheme="minorHAnsi"/>
          <w:b/>
        </w:rPr>
        <w:t>Aufenthalt</w:t>
      </w:r>
      <w:r>
        <w:rPr>
          <w:rFonts w:asciiTheme="minorHAnsi" w:hAnsiTheme="minorHAnsi" w:cstheme="minorHAnsi"/>
        </w:rPr>
        <w:t xml:space="preserve"> von insgesamt </w:t>
      </w:r>
      <w:r w:rsidRPr="003B6C3E">
        <w:rPr>
          <w:rFonts w:asciiTheme="minorHAnsi" w:hAnsiTheme="minorHAnsi" w:cstheme="minorHAnsi"/>
        </w:rPr>
        <w:t>zehn Jahren in der Schweiz</w:t>
      </w:r>
      <w:r w:rsidR="00153CDC">
        <w:rPr>
          <w:rFonts w:asciiTheme="minorHAnsi" w:hAnsiTheme="minorHAnsi" w:cstheme="minorHAnsi"/>
        </w:rPr>
        <w:t xml:space="preserve"> nachweisen, wo</w:t>
      </w:r>
      <w:r w:rsidR="008C13A3">
        <w:rPr>
          <w:rFonts w:asciiTheme="minorHAnsi" w:hAnsiTheme="minorHAnsi" w:cstheme="minorHAnsi"/>
        </w:rPr>
        <w:t>von drei in den letzten fünf Jahren vor Einreichung des Gesuchs</w:t>
      </w:r>
      <w:r w:rsidR="00BD5502">
        <w:rPr>
          <w:rFonts w:asciiTheme="minorHAnsi" w:hAnsiTheme="minorHAnsi" w:cstheme="minorHAnsi"/>
        </w:rPr>
        <w:t>.</w:t>
      </w:r>
      <w:r>
        <w:rPr>
          <w:rFonts w:asciiTheme="minorHAnsi" w:hAnsiTheme="minorHAnsi" w:cstheme="minorHAnsi"/>
        </w:rPr>
        <w:t xml:space="preserve"> Für die Berechnung der Aufenthaltsdauer wird die Zeit, während der die Person zwischen dem vollendeten 8. und 18. Lebensjahr in der Schweiz gelebt hat, doppelt gerechnet. </w:t>
      </w:r>
    </w:p>
    <w:p w:rsidR="00B5370F" w:rsidRDefault="00B5370F" w:rsidP="00B5370F">
      <w:pPr>
        <w:tabs>
          <w:tab w:val="left" w:pos="284"/>
        </w:tabs>
        <w:autoSpaceDE w:val="0"/>
        <w:autoSpaceDN w:val="0"/>
        <w:adjustRightInd w:val="0"/>
        <w:ind w:left="284" w:hanging="284"/>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Der Aufenthalt in der Schweiz mit einem </w:t>
      </w:r>
      <w:r w:rsidRPr="00157A97">
        <w:rPr>
          <w:rFonts w:asciiTheme="minorHAnsi" w:hAnsiTheme="minorHAnsi" w:cstheme="minorHAnsi"/>
          <w:b/>
        </w:rPr>
        <w:t>Aufenthaltstitel</w:t>
      </w:r>
      <w:r>
        <w:rPr>
          <w:rFonts w:asciiTheme="minorHAnsi" w:hAnsiTheme="minorHAnsi" w:cstheme="minorHAnsi"/>
        </w:rPr>
        <w:t xml:space="preserve"> in Form einer Aufenthalts- (Ausweis B) oder Niederlassungsbewilligung (Ausweis C) wird voll angerechnet (Art. 33 Abs. 1 </w:t>
      </w:r>
      <w:proofErr w:type="spellStart"/>
      <w:r>
        <w:rPr>
          <w:rFonts w:asciiTheme="minorHAnsi" w:hAnsiTheme="minorHAnsi" w:cstheme="minorHAnsi"/>
        </w:rPr>
        <w:t>lit</w:t>
      </w:r>
      <w:proofErr w:type="spellEnd"/>
      <w:r>
        <w:rPr>
          <w:rFonts w:asciiTheme="minorHAnsi" w:hAnsiTheme="minorHAnsi" w:cstheme="minorHAnsi"/>
        </w:rPr>
        <w:t xml:space="preserve">. a </w:t>
      </w:r>
      <w:proofErr w:type="spellStart"/>
      <w:r>
        <w:rPr>
          <w:rFonts w:asciiTheme="minorHAnsi" w:hAnsiTheme="minorHAnsi" w:cstheme="minorHAnsi"/>
        </w:rPr>
        <w:t>BüG</w:t>
      </w:r>
      <w:proofErr w:type="spellEnd"/>
      <w:r>
        <w:rPr>
          <w:rFonts w:asciiTheme="minorHAnsi" w:hAnsiTheme="minorHAnsi" w:cstheme="minorHAnsi"/>
        </w:rPr>
        <w:t xml:space="preserve">). Der Aufenthalt mit dem Status vorläufige Aufnahme (Ausweis F) wird zur Hälfte angerechnet (Art. 33 Abs. 1 </w:t>
      </w:r>
      <w:proofErr w:type="spellStart"/>
      <w:r>
        <w:rPr>
          <w:rFonts w:asciiTheme="minorHAnsi" w:hAnsiTheme="minorHAnsi" w:cstheme="minorHAnsi"/>
        </w:rPr>
        <w:t>lit</w:t>
      </w:r>
      <w:proofErr w:type="spellEnd"/>
      <w:r>
        <w:rPr>
          <w:rFonts w:asciiTheme="minorHAnsi" w:hAnsiTheme="minorHAnsi" w:cstheme="minorHAnsi"/>
        </w:rPr>
        <w:t xml:space="preserve">. b </w:t>
      </w:r>
      <w:proofErr w:type="spellStart"/>
      <w:r>
        <w:rPr>
          <w:rFonts w:asciiTheme="minorHAnsi" w:hAnsiTheme="minorHAnsi" w:cstheme="minorHAnsi"/>
        </w:rPr>
        <w:t>BüG</w:t>
      </w:r>
      <w:proofErr w:type="spellEnd"/>
      <w:r>
        <w:rPr>
          <w:rFonts w:asciiTheme="minorHAnsi" w:hAnsiTheme="minorHAnsi" w:cstheme="minorHAnsi"/>
        </w:rPr>
        <w:t>).</w:t>
      </w:r>
      <w:r w:rsidRPr="0057470D">
        <w:rPr>
          <w:rFonts w:asciiTheme="minorHAnsi" w:hAnsiTheme="minorHAnsi" w:cstheme="minorHAnsi"/>
        </w:rPr>
        <w:t xml:space="preserve"> </w:t>
      </w:r>
      <w:r>
        <w:rPr>
          <w:rFonts w:asciiTheme="minorHAnsi" w:hAnsiTheme="minorHAnsi" w:cstheme="minorHAnsi"/>
        </w:rPr>
        <w:t>Der Aufenthalt in der Schweiz mit einem Ausweis N (Bewilligung für Asylsuchende) oder Ausweis L (Kurzaufenthaltsbewilligung) wird nicht angerechnet.</w:t>
      </w:r>
    </w:p>
    <w:p w:rsidR="00DA6321" w:rsidRPr="00B5370F" w:rsidRDefault="00DA6321" w:rsidP="00B5370F">
      <w:pPr>
        <w:tabs>
          <w:tab w:val="left" w:pos="284"/>
        </w:tabs>
        <w:autoSpaceDE w:val="0"/>
        <w:autoSpaceDN w:val="0"/>
        <w:adjustRightInd w:val="0"/>
        <w:ind w:left="284" w:hanging="284"/>
        <w:rPr>
          <w:rFonts w:asciiTheme="minorHAnsi" w:hAnsiTheme="minorHAnsi" w:cstheme="minorHAnsi"/>
        </w:rPr>
      </w:pPr>
    </w:p>
    <w:p w:rsidR="00B5370F" w:rsidRPr="00DA6321" w:rsidRDefault="00AE72F5" w:rsidP="00B5370F">
      <w:pPr>
        <w:pStyle w:val="37Titel4"/>
        <w:rPr>
          <w:lang w:val="de-DE" w:eastAsia="en-US"/>
        </w:rPr>
      </w:pPr>
      <w:bookmarkStart w:id="7" w:name="_Toc6405557"/>
      <w:r>
        <w:rPr>
          <w:lang w:val="de-DE" w:eastAsia="en-US"/>
        </w:rPr>
        <w:t>Materielle Voraussetzungen</w:t>
      </w:r>
      <w:bookmarkEnd w:id="7"/>
    </w:p>
    <w:p w:rsidR="006478A5" w:rsidRDefault="00B5370F" w:rsidP="006478A5">
      <w:pPr>
        <w:tabs>
          <w:tab w:val="clear" w:pos="397"/>
          <w:tab w:val="left" w:pos="284"/>
          <w:tab w:val="left" w:pos="567"/>
        </w:tabs>
        <w:autoSpaceDE w:val="0"/>
        <w:autoSpaceDN w:val="0"/>
        <w:adjustRightInd w:val="0"/>
        <w:ind w:left="284" w:hanging="284"/>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6478A5" w:rsidRPr="0092750F">
        <w:rPr>
          <w:rFonts w:asciiTheme="minorHAnsi" w:hAnsiTheme="minorHAnsi" w:cstheme="minorHAnsi"/>
          <w:b/>
        </w:rPr>
        <w:t>Beachten der öffentlichen Sicherheit und Ordnung</w:t>
      </w:r>
      <w:r w:rsidR="006478A5">
        <w:rPr>
          <w:rFonts w:asciiTheme="minorHAnsi" w:hAnsiTheme="minorHAnsi" w:cstheme="minorHAnsi"/>
          <w:b/>
        </w:rPr>
        <w:t xml:space="preserve"> </w:t>
      </w:r>
      <w:r w:rsidR="006478A5">
        <w:rPr>
          <w:rFonts w:asciiTheme="minorHAnsi" w:hAnsiTheme="minorHAnsi" w:cstheme="minorHAnsi"/>
        </w:rPr>
        <w:t xml:space="preserve">(Art. 12 Abs. 1 </w:t>
      </w:r>
      <w:proofErr w:type="spellStart"/>
      <w:r w:rsidR="006478A5">
        <w:rPr>
          <w:rFonts w:asciiTheme="minorHAnsi" w:hAnsiTheme="minorHAnsi" w:cstheme="minorHAnsi"/>
        </w:rPr>
        <w:t>lit</w:t>
      </w:r>
      <w:proofErr w:type="spellEnd"/>
      <w:r w:rsidR="006478A5">
        <w:rPr>
          <w:rFonts w:asciiTheme="minorHAnsi" w:hAnsiTheme="minorHAnsi" w:cstheme="minorHAnsi"/>
        </w:rPr>
        <w:t xml:space="preserve">. a </w:t>
      </w:r>
      <w:proofErr w:type="spellStart"/>
      <w:r w:rsidR="006478A5">
        <w:rPr>
          <w:rFonts w:asciiTheme="minorHAnsi" w:hAnsiTheme="minorHAnsi" w:cstheme="minorHAnsi"/>
        </w:rPr>
        <w:t>BüG</w:t>
      </w:r>
      <w:proofErr w:type="spellEnd"/>
      <w:r w:rsidR="006478A5">
        <w:rPr>
          <w:rFonts w:asciiTheme="minorHAnsi" w:hAnsiTheme="minorHAnsi" w:cstheme="minorHAnsi"/>
        </w:rPr>
        <w:t>)</w:t>
      </w:r>
      <w:r w:rsidR="006478A5" w:rsidRPr="00FC1958">
        <w:rPr>
          <w:rFonts w:asciiTheme="minorHAnsi" w:hAnsiTheme="minorHAnsi" w:cstheme="minorHAnsi"/>
        </w:rPr>
        <w:t>:</w:t>
      </w:r>
      <w:r w:rsidR="006478A5">
        <w:rPr>
          <w:rFonts w:asciiTheme="minorHAnsi" w:hAnsiTheme="minorHAnsi" w:cstheme="minorHAnsi"/>
          <w:b/>
        </w:rPr>
        <w:t xml:space="preserve"> </w:t>
      </w:r>
      <w:r w:rsidR="006478A5" w:rsidRPr="0092750F">
        <w:rPr>
          <w:rFonts w:asciiTheme="minorHAnsi" w:hAnsiTheme="minorHAnsi" w:cstheme="minorHAnsi"/>
        </w:rPr>
        <w:t>Dazu gehört die Respektierung der schweizerischen Rechtsordnung</w:t>
      </w:r>
      <w:r w:rsidR="00486064">
        <w:rPr>
          <w:rFonts w:asciiTheme="minorHAnsi" w:hAnsiTheme="minorHAnsi" w:cstheme="minorHAnsi"/>
        </w:rPr>
        <w:t>,</w:t>
      </w:r>
      <w:r w:rsidR="006478A5" w:rsidRPr="0092750F">
        <w:rPr>
          <w:rFonts w:asciiTheme="minorHAnsi" w:hAnsiTheme="minorHAnsi" w:cstheme="minorHAnsi"/>
        </w:rPr>
        <w:t xml:space="preserve"> d.h. die Gesamtheit aller Regeln,</w:t>
      </w:r>
      <w:r w:rsidR="00486064">
        <w:rPr>
          <w:rFonts w:asciiTheme="minorHAnsi" w:hAnsiTheme="minorHAnsi" w:cstheme="minorHAnsi"/>
        </w:rPr>
        <w:t xml:space="preserve"> welche</w:t>
      </w:r>
      <w:r w:rsidR="006478A5">
        <w:rPr>
          <w:rFonts w:asciiTheme="minorHAnsi" w:hAnsiTheme="minorHAnsi" w:cstheme="minorHAnsi"/>
        </w:rPr>
        <w:t xml:space="preserve"> </w:t>
      </w:r>
      <w:r w:rsidR="006478A5" w:rsidRPr="0092750F">
        <w:rPr>
          <w:rFonts w:asciiTheme="minorHAnsi" w:hAnsiTheme="minorHAnsi" w:cstheme="minorHAnsi"/>
        </w:rPr>
        <w:t xml:space="preserve">die Rechtsstellung der Menschen und </w:t>
      </w:r>
      <w:r w:rsidR="006478A5">
        <w:rPr>
          <w:rFonts w:asciiTheme="minorHAnsi" w:hAnsiTheme="minorHAnsi" w:cstheme="minorHAnsi"/>
        </w:rPr>
        <w:t xml:space="preserve">das </w:t>
      </w:r>
      <w:r w:rsidR="006478A5" w:rsidRPr="0092750F">
        <w:rPr>
          <w:rFonts w:asciiTheme="minorHAnsi" w:hAnsiTheme="minorHAnsi" w:cstheme="minorHAnsi"/>
        </w:rPr>
        <w:t xml:space="preserve">Rechtsverhältnis der Menschen untereinander </w:t>
      </w:r>
      <w:r w:rsidR="006478A5">
        <w:rPr>
          <w:rFonts w:asciiTheme="minorHAnsi" w:hAnsiTheme="minorHAnsi" w:cstheme="minorHAnsi"/>
        </w:rPr>
        <w:t>regeln</w:t>
      </w:r>
      <w:r w:rsidR="006478A5" w:rsidRPr="0092750F">
        <w:rPr>
          <w:rFonts w:asciiTheme="minorHAnsi" w:hAnsiTheme="minorHAnsi" w:cstheme="minorHAnsi"/>
        </w:rPr>
        <w:t>.</w:t>
      </w:r>
      <w:r w:rsidR="006478A5">
        <w:rPr>
          <w:rFonts w:asciiTheme="minorHAnsi" w:hAnsiTheme="minorHAnsi" w:cstheme="minorHAnsi"/>
        </w:rPr>
        <w:t xml:space="preserve"> Dabei geht es hauptsächlich</w:t>
      </w:r>
      <w:r w:rsidR="006478A5" w:rsidRPr="0092750F">
        <w:rPr>
          <w:rFonts w:asciiTheme="minorHAnsi" w:hAnsiTheme="minorHAnsi" w:cstheme="minorHAnsi"/>
        </w:rPr>
        <w:t xml:space="preserve"> </w:t>
      </w:r>
      <w:r w:rsidR="006478A5" w:rsidRPr="00C14278">
        <w:rPr>
          <w:rFonts w:asciiTheme="minorHAnsi" w:hAnsiTheme="minorHAnsi" w:cstheme="minorHAnsi"/>
        </w:rPr>
        <w:t xml:space="preserve">um den </w:t>
      </w:r>
      <w:r w:rsidR="006478A5" w:rsidRPr="006347A4">
        <w:rPr>
          <w:rFonts w:asciiTheme="minorHAnsi" w:hAnsiTheme="minorHAnsi" w:cstheme="minorHAnsi"/>
          <w:b/>
        </w:rPr>
        <w:t>strafrechtlichen und den finanziellen Leumund</w:t>
      </w:r>
      <w:r w:rsidR="006478A5">
        <w:rPr>
          <w:rFonts w:asciiTheme="minorHAnsi" w:hAnsiTheme="minorHAnsi" w:cstheme="minorHAnsi"/>
        </w:rPr>
        <w:t xml:space="preserve">. </w:t>
      </w:r>
      <w:r w:rsidR="006478A5" w:rsidRPr="0092750F">
        <w:rPr>
          <w:rFonts w:asciiTheme="minorHAnsi" w:hAnsiTheme="minorHAnsi" w:cstheme="minorHAnsi"/>
        </w:rPr>
        <w:t xml:space="preserve">Gemäss Art. 4 </w:t>
      </w:r>
      <w:proofErr w:type="spellStart"/>
      <w:r w:rsidR="006478A5" w:rsidRPr="0092750F">
        <w:rPr>
          <w:rFonts w:asciiTheme="minorHAnsi" w:hAnsiTheme="minorHAnsi" w:cstheme="minorHAnsi"/>
        </w:rPr>
        <w:t>BüV</w:t>
      </w:r>
      <w:proofErr w:type="spellEnd"/>
      <w:r w:rsidR="006478A5" w:rsidRPr="0092750F">
        <w:rPr>
          <w:rFonts w:asciiTheme="minorHAnsi" w:hAnsiTheme="minorHAnsi" w:cstheme="minorHAnsi"/>
        </w:rPr>
        <w:t xml:space="preserve"> verstös</w:t>
      </w:r>
      <w:r w:rsidR="006478A5">
        <w:rPr>
          <w:rFonts w:asciiTheme="minorHAnsi" w:hAnsiTheme="minorHAnsi" w:cstheme="minorHAnsi"/>
        </w:rPr>
        <w:t>s</w:t>
      </w:r>
      <w:r w:rsidR="006478A5" w:rsidRPr="0092750F">
        <w:rPr>
          <w:rFonts w:asciiTheme="minorHAnsi" w:hAnsiTheme="minorHAnsi" w:cstheme="minorHAnsi"/>
        </w:rPr>
        <w:t xml:space="preserve">t gegen die öffentliche Sicherheit und </w:t>
      </w:r>
      <w:r w:rsidR="006478A5">
        <w:rPr>
          <w:rFonts w:asciiTheme="minorHAnsi" w:hAnsiTheme="minorHAnsi" w:cstheme="minorHAnsi"/>
        </w:rPr>
        <w:t>Ordnung</w:t>
      </w:r>
    </w:p>
    <w:p w:rsidR="006478A5" w:rsidRDefault="00207C16" w:rsidP="00A17C22">
      <w:pPr>
        <w:tabs>
          <w:tab w:val="clear" w:pos="397"/>
          <w:tab w:val="clear" w:pos="794"/>
          <w:tab w:val="left" w:pos="0"/>
        </w:tabs>
        <w:autoSpaceDE w:val="0"/>
        <w:autoSpaceDN w:val="0"/>
        <w:adjustRightInd w:val="0"/>
        <w:spacing w:before="60"/>
        <w:ind w:left="284"/>
        <w:rPr>
          <w:rFonts w:asciiTheme="minorHAnsi" w:hAnsiTheme="minorHAnsi" w:cstheme="minorHAnsi"/>
        </w:rPr>
      </w:pPr>
      <w:r>
        <w:rPr>
          <w:rFonts w:asciiTheme="minorHAnsi" w:hAnsiTheme="minorHAnsi" w:cstheme="minorHAnsi"/>
        </w:rPr>
        <w:t>a.</w:t>
      </w:r>
      <w:r w:rsidR="006478A5" w:rsidRPr="00C14278">
        <w:rPr>
          <w:rFonts w:asciiTheme="minorHAnsi" w:hAnsiTheme="minorHAnsi" w:cstheme="minorHAnsi"/>
        </w:rPr>
        <w:t xml:space="preserve"> wer gesetzliche Vorschriften und behördliche Verfü</w:t>
      </w:r>
      <w:r w:rsidR="006478A5">
        <w:rPr>
          <w:rFonts w:asciiTheme="minorHAnsi" w:hAnsiTheme="minorHAnsi" w:cstheme="minorHAnsi"/>
        </w:rPr>
        <w:t xml:space="preserve">gungen erheblich oder wiederholt </w:t>
      </w:r>
      <w:r w:rsidR="006478A5" w:rsidRPr="00C14278">
        <w:rPr>
          <w:rFonts w:asciiTheme="minorHAnsi" w:hAnsiTheme="minorHAnsi" w:cstheme="minorHAnsi"/>
        </w:rPr>
        <w:t>missachtet,</w:t>
      </w:r>
    </w:p>
    <w:p w:rsidR="006478A5" w:rsidRDefault="00207C16" w:rsidP="00A17C22">
      <w:pPr>
        <w:tabs>
          <w:tab w:val="clear" w:pos="397"/>
          <w:tab w:val="clear" w:pos="794"/>
          <w:tab w:val="left" w:pos="0"/>
        </w:tabs>
        <w:autoSpaceDE w:val="0"/>
        <w:autoSpaceDN w:val="0"/>
        <w:adjustRightInd w:val="0"/>
        <w:spacing w:before="60"/>
        <w:ind w:left="284"/>
        <w:rPr>
          <w:rFonts w:asciiTheme="minorHAnsi" w:hAnsiTheme="minorHAnsi" w:cstheme="minorHAnsi"/>
        </w:rPr>
      </w:pPr>
      <w:r>
        <w:rPr>
          <w:rFonts w:asciiTheme="minorHAnsi" w:hAnsiTheme="minorHAnsi" w:cstheme="minorHAnsi"/>
        </w:rPr>
        <w:t>b.</w:t>
      </w:r>
      <w:r w:rsidR="006478A5">
        <w:rPr>
          <w:rFonts w:asciiTheme="minorHAnsi" w:hAnsiTheme="minorHAnsi" w:cstheme="minorHAnsi"/>
        </w:rPr>
        <w:t xml:space="preserve"> </w:t>
      </w:r>
      <w:r w:rsidR="006478A5" w:rsidRPr="00C14278">
        <w:rPr>
          <w:rFonts w:asciiTheme="minorHAnsi" w:hAnsiTheme="minorHAnsi" w:cstheme="minorHAnsi"/>
        </w:rPr>
        <w:t>wer wichtige öffentlich-rechtliche oder privatrechtliche Verpflichtungen mutwillig</w:t>
      </w:r>
      <w:r w:rsidR="006478A5">
        <w:rPr>
          <w:rFonts w:asciiTheme="minorHAnsi" w:hAnsiTheme="minorHAnsi" w:cstheme="minorHAnsi"/>
        </w:rPr>
        <w:t xml:space="preserve"> </w:t>
      </w:r>
      <w:r w:rsidR="006478A5" w:rsidRPr="00C14278">
        <w:rPr>
          <w:rFonts w:asciiTheme="minorHAnsi" w:hAnsiTheme="minorHAnsi" w:cstheme="minorHAnsi"/>
        </w:rPr>
        <w:t>nicht erfüllt,</w:t>
      </w:r>
    </w:p>
    <w:p w:rsidR="006478A5" w:rsidRPr="00C14278" w:rsidRDefault="00207C16" w:rsidP="00A17C22">
      <w:pPr>
        <w:tabs>
          <w:tab w:val="clear" w:pos="397"/>
          <w:tab w:val="left" w:pos="0"/>
        </w:tabs>
        <w:autoSpaceDE w:val="0"/>
        <w:autoSpaceDN w:val="0"/>
        <w:adjustRightInd w:val="0"/>
        <w:spacing w:before="60"/>
        <w:ind w:left="284"/>
        <w:rPr>
          <w:rFonts w:asciiTheme="minorHAnsi" w:hAnsiTheme="minorHAnsi" w:cstheme="minorHAnsi"/>
        </w:rPr>
      </w:pPr>
      <w:r>
        <w:rPr>
          <w:rFonts w:asciiTheme="minorHAnsi" w:hAnsiTheme="minorHAnsi" w:cstheme="minorHAnsi"/>
        </w:rPr>
        <w:t>c.</w:t>
      </w:r>
      <w:r w:rsidR="006478A5">
        <w:rPr>
          <w:rFonts w:asciiTheme="minorHAnsi" w:hAnsiTheme="minorHAnsi" w:cstheme="minorHAnsi"/>
        </w:rPr>
        <w:t xml:space="preserve"> </w:t>
      </w:r>
      <w:r w:rsidR="006478A5" w:rsidRPr="00C14278">
        <w:rPr>
          <w:rFonts w:asciiTheme="minorHAnsi" w:hAnsiTheme="minorHAnsi" w:cstheme="minorHAnsi"/>
        </w:rPr>
        <w:t>wer nachweislich Verbrechen oder Vergehen gegen den öffentlichen Frieden,</w:t>
      </w:r>
      <w:r w:rsidR="006478A5">
        <w:rPr>
          <w:rFonts w:asciiTheme="minorHAnsi" w:hAnsiTheme="minorHAnsi" w:cstheme="minorHAnsi"/>
        </w:rPr>
        <w:t xml:space="preserve"> </w:t>
      </w:r>
      <w:r w:rsidR="006478A5" w:rsidRPr="00C14278">
        <w:rPr>
          <w:rFonts w:asciiTheme="minorHAnsi" w:hAnsiTheme="minorHAnsi" w:cstheme="minorHAnsi"/>
        </w:rPr>
        <w:t>Völkermord, Verbrechen gegen die Menschlichkeit oder Kriegsverbrechen öffentlich</w:t>
      </w:r>
      <w:r w:rsidR="006478A5">
        <w:rPr>
          <w:rFonts w:asciiTheme="minorHAnsi" w:hAnsiTheme="minorHAnsi" w:cstheme="minorHAnsi"/>
        </w:rPr>
        <w:t xml:space="preserve"> </w:t>
      </w:r>
      <w:r w:rsidR="006478A5" w:rsidRPr="00C14278">
        <w:rPr>
          <w:rFonts w:asciiTheme="minorHAnsi" w:hAnsiTheme="minorHAnsi" w:cstheme="minorHAnsi"/>
        </w:rPr>
        <w:t>billigt oder dafür wirbt</w:t>
      </w:r>
      <w:r w:rsidR="006478A5">
        <w:rPr>
          <w:rFonts w:asciiTheme="minorHAnsi" w:hAnsiTheme="minorHAnsi" w:cstheme="minorHAnsi"/>
        </w:rPr>
        <w:t>,</w:t>
      </w:r>
      <w:r w:rsidR="006478A5" w:rsidRPr="00C14278">
        <w:rPr>
          <w:rFonts w:asciiTheme="minorHAnsi" w:hAnsiTheme="minorHAnsi" w:cstheme="minorHAnsi"/>
        </w:rPr>
        <w:t xml:space="preserve"> oder</w:t>
      </w:r>
    </w:p>
    <w:p w:rsidR="00B5370F" w:rsidRDefault="00207C16" w:rsidP="00A17C22">
      <w:pPr>
        <w:tabs>
          <w:tab w:val="clear" w:pos="397"/>
          <w:tab w:val="left" w:pos="0"/>
        </w:tabs>
        <w:autoSpaceDE w:val="0"/>
        <w:autoSpaceDN w:val="0"/>
        <w:adjustRightInd w:val="0"/>
        <w:spacing w:before="60"/>
        <w:ind w:left="284"/>
        <w:rPr>
          <w:rFonts w:asciiTheme="minorHAnsi" w:hAnsiTheme="minorHAnsi" w:cstheme="minorHAnsi"/>
        </w:rPr>
      </w:pPr>
      <w:r>
        <w:rPr>
          <w:rFonts w:asciiTheme="minorHAnsi" w:hAnsiTheme="minorHAnsi" w:cstheme="minorHAnsi"/>
        </w:rPr>
        <w:t>d.</w:t>
      </w:r>
      <w:r w:rsidR="006478A5">
        <w:rPr>
          <w:rFonts w:asciiTheme="minorHAnsi" w:hAnsiTheme="minorHAnsi" w:cstheme="minorHAnsi"/>
        </w:rPr>
        <w:t xml:space="preserve"> </w:t>
      </w:r>
      <w:r w:rsidR="006478A5" w:rsidRPr="00C14278">
        <w:rPr>
          <w:rFonts w:asciiTheme="minorHAnsi" w:hAnsiTheme="minorHAnsi" w:cstheme="minorHAnsi"/>
        </w:rPr>
        <w:t>wenn über die betroffene Person im Strafr</w:t>
      </w:r>
      <w:r w:rsidR="006478A5">
        <w:rPr>
          <w:rFonts w:asciiTheme="minorHAnsi" w:hAnsiTheme="minorHAnsi" w:cstheme="minorHAnsi"/>
        </w:rPr>
        <w:t xml:space="preserve">egister-Informationssystem VOSTRA </w:t>
      </w:r>
      <w:r w:rsidR="006478A5" w:rsidRPr="00C14278">
        <w:rPr>
          <w:rFonts w:asciiTheme="minorHAnsi" w:hAnsiTheme="minorHAnsi" w:cstheme="minorHAnsi"/>
        </w:rPr>
        <w:t>ein</w:t>
      </w:r>
      <w:r w:rsidR="006478A5">
        <w:rPr>
          <w:rFonts w:asciiTheme="minorHAnsi" w:hAnsiTheme="minorHAnsi" w:cstheme="minorHAnsi"/>
        </w:rPr>
        <w:t xml:space="preserve"> </w:t>
      </w:r>
      <w:r w:rsidR="006478A5" w:rsidRPr="00C14278">
        <w:rPr>
          <w:rFonts w:asciiTheme="minorHAnsi" w:hAnsiTheme="minorHAnsi" w:cstheme="minorHAnsi"/>
        </w:rPr>
        <w:t>Eintrag mi</w:t>
      </w:r>
      <w:r w:rsidR="006478A5">
        <w:rPr>
          <w:rFonts w:asciiTheme="minorHAnsi" w:hAnsiTheme="minorHAnsi" w:cstheme="minorHAnsi"/>
        </w:rPr>
        <w:t xml:space="preserve">t einem </w:t>
      </w:r>
      <w:r w:rsidR="006478A5" w:rsidRPr="00C14278">
        <w:rPr>
          <w:rFonts w:asciiTheme="minorHAnsi" w:hAnsiTheme="minorHAnsi" w:cstheme="minorHAnsi"/>
        </w:rPr>
        <w:t>Inhalt</w:t>
      </w:r>
      <w:r w:rsidR="006478A5">
        <w:rPr>
          <w:rFonts w:asciiTheme="minorHAnsi" w:hAnsiTheme="minorHAnsi" w:cstheme="minorHAnsi"/>
        </w:rPr>
        <w:t xml:space="preserve"> gemäss Art. 4 Abs. 2 und 3 </w:t>
      </w:r>
      <w:proofErr w:type="spellStart"/>
      <w:r w:rsidR="006478A5">
        <w:rPr>
          <w:rFonts w:asciiTheme="minorHAnsi" w:hAnsiTheme="minorHAnsi" w:cstheme="minorHAnsi"/>
        </w:rPr>
        <w:t>BüV</w:t>
      </w:r>
      <w:proofErr w:type="spellEnd"/>
      <w:r w:rsidR="006478A5" w:rsidRPr="00C14278">
        <w:rPr>
          <w:rFonts w:asciiTheme="minorHAnsi" w:hAnsiTheme="minorHAnsi" w:cstheme="minorHAnsi"/>
        </w:rPr>
        <w:t xml:space="preserve"> für das Staatssekretariat für</w:t>
      </w:r>
      <w:r w:rsidR="006478A5">
        <w:rPr>
          <w:rFonts w:asciiTheme="minorHAnsi" w:hAnsiTheme="minorHAnsi" w:cstheme="minorHAnsi"/>
        </w:rPr>
        <w:t xml:space="preserve"> </w:t>
      </w:r>
      <w:r w:rsidR="006478A5" w:rsidRPr="00C14278">
        <w:rPr>
          <w:rFonts w:asciiTheme="minorHAnsi" w:hAnsiTheme="minorHAnsi" w:cstheme="minorHAnsi"/>
        </w:rPr>
        <w:t>Migration (SEM) einsehbar ist.</w:t>
      </w:r>
    </w:p>
    <w:p w:rsidR="00B5370F" w:rsidRPr="00B5370F" w:rsidRDefault="00B5370F" w:rsidP="00B5370F">
      <w:pPr>
        <w:tabs>
          <w:tab w:val="clear" w:pos="397"/>
          <w:tab w:val="left" w:pos="284"/>
          <w:tab w:val="left" w:pos="567"/>
        </w:tabs>
        <w:autoSpaceDE w:val="0"/>
        <w:autoSpaceDN w:val="0"/>
        <w:adjustRightInd w:val="0"/>
        <w:ind w:left="284" w:hanging="284"/>
        <w:rPr>
          <w:color w:val="000000"/>
          <w:szCs w:val="2"/>
          <w:lang w:val="de-DE"/>
        </w:rPr>
      </w:pPr>
      <w:r w:rsidRPr="00B5370F">
        <w:rPr>
          <w:rFonts w:asciiTheme="minorHAnsi" w:hAnsiTheme="minorHAnsi" w:cstheme="minorHAnsi"/>
        </w:rPr>
        <w:t>-</w:t>
      </w:r>
      <w:r w:rsidRPr="00B5370F">
        <w:rPr>
          <w:rFonts w:asciiTheme="minorHAnsi" w:hAnsiTheme="minorHAnsi" w:cstheme="minorHAnsi"/>
        </w:rPr>
        <w:tab/>
        <w:t xml:space="preserve">Der Bund verlangt die </w:t>
      </w:r>
      <w:r w:rsidRPr="00B5370F">
        <w:rPr>
          <w:rFonts w:asciiTheme="minorHAnsi" w:hAnsiTheme="minorHAnsi" w:cstheme="minorHAnsi"/>
          <w:b/>
        </w:rPr>
        <w:t>Respektierung der Werte der Bundesverfassung</w:t>
      </w:r>
      <w:r w:rsidRPr="00B5370F">
        <w:rPr>
          <w:rFonts w:asciiTheme="minorHAnsi" w:hAnsiTheme="minorHAnsi" w:cstheme="minorHAnsi"/>
        </w:rPr>
        <w:t xml:space="preserve"> (Art. 12 Abs. 1 </w:t>
      </w:r>
      <w:proofErr w:type="spellStart"/>
      <w:r w:rsidRPr="00B5370F">
        <w:rPr>
          <w:rFonts w:asciiTheme="minorHAnsi" w:hAnsiTheme="minorHAnsi" w:cstheme="minorHAnsi"/>
        </w:rPr>
        <w:t>lit</w:t>
      </w:r>
      <w:proofErr w:type="spellEnd"/>
      <w:r w:rsidRPr="00B5370F">
        <w:rPr>
          <w:rFonts w:asciiTheme="minorHAnsi" w:hAnsiTheme="minorHAnsi" w:cstheme="minorHAnsi"/>
        </w:rPr>
        <w:t xml:space="preserve">. b </w:t>
      </w:r>
      <w:proofErr w:type="spellStart"/>
      <w:r w:rsidRPr="00B5370F">
        <w:rPr>
          <w:rFonts w:asciiTheme="minorHAnsi" w:hAnsiTheme="minorHAnsi" w:cstheme="minorHAnsi"/>
        </w:rPr>
        <w:t>BüG</w:t>
      </w:r>
      <w:proofErr w:type="spellEnd"/>
      <w:r w:rsidRPr="00B5370F">
        <w:rPr>
          <w:rFonts w:asciiTheme="minorHAnsi" w:hAnsiTheme="minorHAnsi" w:cstheme="minorHAnsi"/>
        </w:rPr>
        <w:t xml:space="preserve">). Der Begriff beinhaltet das Demokratie- und Rechtsstaatsprinzip, die Grundrechte wie die Gleichberechtigung von Mann und Frau, das Recht auf Leben und die persönliche Freiheit, die Glaubens- und Gewissensfreiheit sowie die Meinungsäusserungsfreiheit, aber auch die Pflicht zum Militär- oder zivilen Ersatzdienst und zum Schulbesuch (Art. 5 </w:t>
      </w:r>
      <w:proofErr w:type="spellStart"/>
      <w:r w:rsidRPr="00B5370F">
        <w:rPr>
          <w:rFonts w:asciiTheme="minorHAnsi" w:hAnsiTheme="minorHAnsi" w:cstheme="minorHAnsi"/>
        </w:rPr>
        <w:t>BüV</w:t>
      </w:r>
      <w:proofErr w:type="spellEnd"/>
      <w:r w:rsidRPr="00B5370F">
        <w:rPr>
          <w:rFonts w:asciiTheme="minorHAnsi" w:hAnsiTheme="minorHAnsi" w:cstheme="minorHAnsi"/>
        </w:rPr>
        <w:t>).</w:t>
      </w:r>
    </w:p>
    <w:p w:rsidR="00B5370F" w:rsidRPr="00B5370F" w:rsidRDefault="00B5370F" w:rsidP="00B5370F">
      <w:pPr>
        <w:ind w:left="284" w:hanging="284"/>
        <w:rPr>
          <w:rFonts w:asciiTheme="minorHAnsi" w:hAnsiTheme="minorHAnsi" w:cstheme="minorHAnsi"/>
        </w:rPr>
      </w:pPr>
      <w:r w:rsidRPr="00B5370F">
        <w:rPr>
          <w:color w:val="000000"/>
          <w:szCs w:val="2"/>
          <w:lang w:val="de-DE"/>
        </w:rPr>
        <w:t>-</w:t>
      </w:r>
      <w:r w:rsidRPr="00B5370F">
        <w:rPr>
          <w:color w:val="000000"/>
          <w:szCs w:val="2"/>
          <w:lang w:val="de-DE"/>
        </w:rPr>
        <w:tab/>
      </w:r>
      <w:r w:rsidRPr="00B5370F">
        <w:rPr>
          <w:b/>
          <w:color w:val="000000"/>
          <w:szCs w:val="2"/>
          <w:lang w:val="de-DE"/>
        </w:rPr>
        <w:t>Sprachliche Integration</w:t>
      </w:r>
      <w:r w:rsidRPr="00B5370F">
        <w:rPr>
          <w:color w:val="000000"/>
          <w:szCs w:val="2"/>
          <w:lang w:val="de-DE"/>
        </w:rPr>
        <w:t xml:space="preserve">: </w:t>
      </w:r>
      <w:r w:rsidR="00FD7237">
        <w:rPr>
          <w:color w:val="000000"/>
          <w:szCs w:val="2"/>
          <w:lang w:val="de-DE"/>
        </w:rPr>
        <w:t xml:space="preserve">Bewerberinnen und Bewerber müssen sich im </w:t>
      </w:r>
      <w:r w:rsidR="00FD7237" w:rsidRPr="00FD7237">
        <w:rPr>
          <w:b/>
          <w:color w:val="000000"/>
          <w:szCs w:val="2"/>
          <w:lang w:val="de-DE"/>
        </w:rPr>
        <w:t xml:space="preserve">Alltag </w:t>
      </w:r>
      <w:r w:rsidR="00FD7237" w:rsidRPr="00FD7237">
        <w:rPr>
          <w:color w:val="000000"/>
          <w:szCs w:val="2"/>
          <w:lang w:val="de-DE"/>
        </w:rPr>
        <w:t>in Wort und Schrift in einer Landessprache verständigen können (Art. 12 Abs. 1 Bst. c</w:t>
      </w:r>
      <w:r w:rsidR="00FD7237">
        <w:rPr>
          <w:color w:val="000000"/>
          <w:szCs w:val="2"/>
          <w:lang w:val="de-DE"/>
        </w:rPr>
        <w:t xml:space="preserve"> </w:t>
      </w:r>
      <w:proofErr w:type="spellStart"/>
      <w:r w:rsidR="00FD7237">
        <w:rPr>
          <w:color w:val="000000"/>
          <w:szCs w:val="2"/>
          <w:lang w:val="de-DE"/>
        </w:rPr>
        <w:t>BüG</w:t>
      </w:r>
      <w:proofErr w:type="spellEnd"/>
      <w:r w:rsidR="006E4F60">
        <w:rPr>
          <w:color w:val="000000"/>
          <w:szCs w:val="2"/>
          <w:lang w:val="de-DE"/>
        </w:rPr>
        <w:t>)</w:t>
      </w:r>
      <w:r w:rsidR="00FD7237">
        <w:rPr>
          <w:color w:val="000000"/>
          <w:szCs w:val="2"/>
          <w:lang w:val="de-DE"/>
        </w:rPr>
        <w:t xml:space="preserve">. </w:t>
      </w:r>
      <w:r w:rsidRPr="00B5370F">
        <w:rPr>
          <w:color w:val="000000"/>
          <w:szCs w:val="2"/>
          <w:lang w:val="de-DE"/>
        </w:rPr>
        <w:t xml:space="preserve">Der Bund </w:t>
      </w:r>
      <w:r w:rsidRPr="00B5370F">
        <w:rPr>
          <w:rFonts w:asciiTheme="minorHAnsi" w:hAnsiTheme="minorHAnsi" w:cstheme="minorHAnsi"/>
        </w:rPr>
        <w:t xml:space="preserve">verlangt das Referenzniveau B1 für mündliche Sprachkompetenzen und das Referenzniveau A2 für schriftliche Sprachkompetenzen in einer Landessprache (Art. 6 Abs. 1 </w:t>
      </w:r>
      <w:proofErr w:type="spellStart"/>
      <w:r w:rsidRPr="00B5370F">
        <w:rPr>
          <w:rFonts w:asciiTheme="minorHAnsi" w:hAnsiTheme="minorHAnsi" w:cstheme="minorHAnsi"/>
        </w:rPr>
        <w:t>BüV</w:t>
      </w:r>
      <w:proofErr w:type="spellEnd"/>
      <w:r w:rsidRPr="00B5370F">
        <w:rPr>
          <w:rFonts w:asciiTheme="minorHAnsi" w:hAnsiTheme="minorHAnsi" w:cstheme="minorHAnsi"/>
        </w:rPr>
        <w:t xml:space="preserve">). </w:t>
      </w:r>
    </w:p>
    <w:p w:rsidR="00B5370F" w:rsidRPr="00B5370F" w:rsidRDefault="00B5370F" w:rsidP="00B5370F">
      <w:pPr>
        <w:ind w:left="284" w:hanging="284"/>
        <w:rPr>
          <w:rFonts w:cs="Arial"/>
        </w:rPr>
      </w:pPr>
      <w:r w:rsidRPr="00B5370F">
        <w:rPr>
          <w:rFonts w:asciiTheme="minorHAnsi" w:hAnsiTheme="minorHAnsi" w:cstheme="minorHAnsi"/>
        </w:rPr>
        <w:t>-</w:t>
      </w:r>
      <w:r w:rsidRPr="00B5370F">
        <w:rPr>
          <w:rFonts w:asciiTheme="minorHAnsi" w:hAnsiTheme="minorHAnsi" w:cstheme="minorHAnsi"/>
        </w:rPr>
        <w:tab/>
      </w:r>
      <w:proofErr w:type="spellStart"/>
      <w:r w:rsidRPr="00B5370F">
        <w:rPr>
          <w:b/>
          <w:color w:val="000000"/>
          <w:szCs w:val="2"/>
          <w:lang w:val="de-DE"/>
        </w:rPr>
        <w:t>Vertrautsein</w:t>
      </w:r>
      <w:proofErr w:type="spellEnd"/>
      <w:r w:rsidRPr="00B5370F">
        <w:rPr>
          <w:b/>
          <w:color w:val="000000"/>
          <w:szCs w:val="2"/>
          <w:lang w:val="de-DE"/>
        </w:rPr>
        <w:t xml:space="preserve"> mit den schweizerischen Lebensverhältnissen:</w:t>
      </w:r>
      <w:r w:rsidRPr="00B5370F">
        <w:rPr>
          <w:color w:val="000000"/>
          <w:szCs w:val="2"/>
          <w:lang w:val="de-DE"/>
        </w:rPr>
        <w:t xml:space="preserve"> Verlangt werden Grundkenntnisse der geografischen, historischen, politischen und gesellschaftlichen Verhältnisse in der Schweiz, die Teilnahme am sozialen und kulturellen Leben in der Schweiz sowie die Pflege von Kontakten zu Schweizerinnen und Schweizern (Art. 2 Abs. 1 </w:t>
      </w:r>
      <w:proofErr w:type="spellStart"/>
      <w:r w:rsidRPr="00B5370F">
        <w:rPr>
          <w:color w:val="000000"/>
          <w:szCs w:val="2"/>
          <w:lang w:val="de-DE"/>
        </w:rPr>
        <w:t>BüV</w:t>
      </w:r>
      <w:proofErr w:type="spellEnd"/>
      <w:r w:rsidRPr="00B5370F">
        <w:rPr>
          <w:color w:val="000000"/>
          <w:szCs w:val="2"/>
          <w:lang w:val="de-DE"/>
        </w:rPr>
        <w:t xml:space="preserve">). </w:t>
      </w:r>
    </w:p>
    <w:p w:rsidR="00B5370F" w:rsidRPr="00B5370F" w:rsidRDefault="00B5370F" w:rsidP="00B5370F">
      <w:pPr>
        <w:tabs>
          <w:tab w:val="clear" w:pos="397"/>
          <w:tab w:val="left" w:pos="284"/>
          <w:tab w:val="left" w:pos="567"/>
        </w:tabs>
        <w:autoSpaceDE w:val="0"/>
        <w:autoSpaceDN w:val="0"/>
        <w:adjustRightInd w:val="0"/>
        <w:ind w:left="284" w:hanging="284"/>
        <w:rPr>
          <w:rFonts w:asciiTheme="minorHAnsi" w:hAnsiTheme="minorHAnsi" w:cstheme="minorHAnsi"/>
        </w:rPr>
      </w:pPr>
      <w:r w:rsidRPr="00B5370F">
        <w:rPr>
          <w:rFonts w:asciiTheme="minorHAnsi" w:hAnsiTheme="minorHAnsi" w:cstheme="minorHAnsi"/>
        </w:rPr>
        <w:t>-</w:t>
      </w:r>
      <w:r w:rsidRPr="00B5370F">
        <w:rPr>
          <w:rFonts w:asciiTheme="minorHAnsi" w:hAnsiTheme="minorHAnsi" w:cstheme="minorHAnsi"/>
        </w:rPr>
        <w:tab/>
        <w:t xml:space="preserve">Die </w:t>
      </w:r>
      <w:r w:rsidRPr="00B5370F">
        <w:rPr>
          <w:rFonts w:asciiTheme="minorHAnsi" w:hAnsiTheme="minorHAnsi" w:cstheme="minorHAnsi"/>
          <w:b/>
        </w:rPr>
        <w:t>Förderung und</w:t>
      </w:r>
      <w:r w:rsidRPr="00B5370F">
        <w:rPr>
          <w:rFonts w:asciiTheme="minorHAnsi" w:hAnsiTheme="minorHAnsi" w:cstheme="minorHAnsi"/>
        </w:rPr>
        <w:t xml:space="preserve"> </w:t>
      </w:r>
      <w:r w:rsidRPr="00B5370F">
        <w:rPr>
          <w:rFonts w:asciiTheme="minorHAnsi" w:hAnsiTheme="minorHAnsi" w:cstheme="minorHAnsi"/>
          <w:b/>
        </w:rPr>
        <w:t>Unterstützung der Integration der Familienmitglieder</w:t>
      </w:r>
      <w:r w:rsidRPr="00B5370F">
        <w:rPr>
          <w:rFonts w:asciiTheme="minorHAnsi" w:hAnsiTheme="minorHAnsi" w:cstheme="minorHAnsi"/>
        </w:rPr>
        <w:t xml:space="preserve"> ist ein neues Integrationskriterium (Art. 12 Abs. 1 </w:t>
      </w:r>
      <w:proofErr w:type="spellStart"/>
      <w:r w:rsidRPr="00B5370F">
        <w:rPr>
          <w:rFonts w:asciiTheme="minorHAnsi" w:hAnsiTheme="minorHAnsi" w:cstheme="minorHAnsi"/>
        </w:rPr>
        <w:t>lit</w:t>
      </w:r>
      <w:proofErr w:type="spellEnd"/>
      <w:r w:rsidRPr="00B5370F">
        <w:rPr>
          <w:rFonts w:asciiTheme="minorHAnsi" w:hAnsiTheme="minorHAnsi" w:cstheme="minorHAnsi"/>
        </w:rPr>
        <w:t xml:space="preserve">. e </w:t>
      </w:r>
      <w:proofErr w:type="spellStart"/>
      <w:r w:rsidRPr="00B5370F">
        <w:rPr>
          <w:rFonts w:asciiTheme="minorHAnsi" w:hAnsiTheme="minorHAnsi" w:cstheme="minorHAnsi"/>
        </w:rPr>
        <w:t>BüG</w:t>
      </w:r>
      <w:proofErr w:type="spellEnd"/>
      <w:r w:rsidRPr="00B5370F">
        <w:rPr>
          <w:rFonts w:asciiTheme="minorHAnsi" w:hAnsiTheme="minorHAnsi" w:cstheme="minorHAnsi"/>
        </w:rPr>
        <w:t xml:space="preserve">, Art. 8 </w:t>
      </w:r>
      <w:proofErr w:type="spellStart"/>
      <w:r w:rsidRPr="00B5370F">
        <w:rPr>
          <w:rFonts w:asciiTheme="minorHAnsi" w:hAnsiTheme="minorHAnsi" w:cstheme="minorHAnsi"/>
        </w:rPr>
        <w:t>BüV</w:t>
      </w:r>
      <w:proofErr w:type="spellEnd"/>
      <w:r w:rsidRPr="00B5370F">
        <w:rPr>
          <w:rFonts w:asciiTheme="minorHAnsi" w:hAnsiTheme="minorHAnsi" w:cstheme="minorHAnsi"/>
        </w:rPr>
        <w:t>). Die Bewerberin oder der Bewerber muss sich nicht nur um die eigene Integration, sondern auch um jene der Familie bemühen.</w:t>
      </w:r>
    </w:p>
    <w:p w:rsidR="00B5370F" w:rsidRPr="00B5370F" w:rsidRDefault="00B5370F" w:rsidP="00DA7A07">
      <w:pPr>
        <w:tabs>
          <w:tab w:val="clear" w:pos="397"/>
          <w:tab w:val="left" w:pos="284"/>
          <w:tab w:val="left" w:pos="567"/>
        </w:tabs>
        <w:autoSpaceDE w:val="0"/>
        <w:autoSpaceDN w:val="0"/>
        <w:adjustRightInd w:val="0"/>
        <w:ind w:left="284" w:hanging="284"/>
        <w:rPr>
          <w:rFonts w:asciiTheme="minorHAnsi" w:hAnsiTheme="minorHAnsi" w:cstheme="minorHAnsi"/>
        </w:rPr>
      </w:pPr>
      <w:r w:rsidRPr="00B5370F">
        <w:rPr>
          <w:rFonts w:asciiTheme="minorHAnsi" w:hAnsiTheme="minorHAnsi" w:cstheme="minorHAnsi"/>
        </w:rPr>
        <w:t>-</w:t>
      </w:r>
      <w:r w:rsidRPr="00B5370F">
        <w:rPr>
          <w:rFonts w:asciiTheme="minorHAnsi" w:hAnsiTheme="minorHAnsi" w:cstheme="minorHAnsi"/>
        </w:rPr>
        <w:tab/>
        <w:t xml:space="preserve">Der Erwerb des Bürgerrechts setzt die </w:t>
      </w:r>
      <w:r w:rsidRPr="00B5370F">
        <w:rPr>
          <w:rFonts w:asciiTheme="minorHAnsi" w:hAnsiTheme="minorHAnsi" w:cstheme="minorHAnsi"/>
          <w:b/>
        </w:rPr>
        <w:t>Teilnahme am Wirtschaftsleben</w:t>
      </w:r>
      <w:r w:rsidRPr="00B5370F">
        <w:rPr>
          <w:rFonts w:asciiTheme="minorHAnsi" w:hAnsiTheme="minorHAnsi" w:cstheme="minorHAnsi"/>
        </w:rPr>
        <w:t xml:space="preserve"> voraus (Art. 12 Abs. 1 </w:t>
      </w:r>
      <w:proofErr w:type="spellStart"/>
      <w:r w:rsidRPr="00B5370F">
        <w:rPr>
          <w:rFonts w:asciiTheme="minorHAnsi" w:hAnsiTheme="minorHAnsi" w:cstheme="minorHAnsi"/>
        </w:rPr>
        <w:t>lit</w:t>
      </w:r>
      <w:proofErr w:type="spellEnd"/>
      <w:r w:rsidRPr="00B5370F">
        <w:rPr>
          <w:rFonts w:asciiTheme="minorHAnsi" w:hAnsiTheme="minorHAnsi" w:cstheme="minorHAnsi"/>
        </w:rPr>
        <w:t xml:space="preserve">. d </w:t>
      </w:r>
      <w:proofErr w:type="spellStart"/>
      <w:r w:rsidRPr="00B5370F">
        <w:rPr>
          <w:rFonts w:asciiTheme="minorHAnsi" w:hAnsiTheme="minorHAnsi" w:cstheme="minorHAnsi"/>
        </w:rPr>
        <w:t>BüG</w:t>
      </w:r>
      <w:proofErr w:type="spellEnd"/>
      <w:r w:rsidRPr="00B5370F">
        <w:rPr>
          <w:rFonts w:asciiTheme="minorHAnsi" w:hAnsiTheme="minorHAnsi" w:cstheme="minorHAnsi"/>
        </w:rPr>
        <w:t xml:space="preserve">). Der Bezug von Sozialhilfe in den drei Jahren vor </w:t>
      </w:r>
      <w:proofErr w:type="spellStart"/>
      <w:r w:rsidRPr="00B5370F">
        <w:rPr>
          <w:rFonts w:asciiTheme="minorHAnsi" w:hAnsiTheme="minorHAnsi" w:cstheme="minorHAnsi"/>
        </w:rPr>
        <w:t>Gesuchseinreichung</w:t>
      </w:r>
      <w:proofErr w:type="spellEnd"/>
      <w:r w:rsidRPr="00B5370F">
        <w:rPr>
          <w:rFonts w:asciiTheme="minorHAnsi" w:hAnsiTheme="minorHAnsi" w:cstheme="minorHAnsi"/>
        </w:rPr>
        <w:t xml:space="preserve"> stellt ein Einbürgerungshindernis dar (Art. 7 Abs. 3 </w:t>
      </w:r>
      <w:proofErr w:type="spellStart"/>
      <w:r w:rsidRPr="00B5370F">
        <w:rPr>
          <w:rFonts w:asciiTheme="minorHAnsi" w:hAnsiTheme="minorHAnsi" w:cstheme="minorHAnsi"/>
        </w:rPr>
        <w:t>BüV</w:t>
      </w:r>
      <w:proofErr w:type="spellEnd"/>
      <w:r w:rsidRPr="00B5370F">
        <w:rPr>
          <w:rFonts w:asciiTheme="minorHAnsi" w:hAnsiTheme="minorHAnsi" w:cstheme="minorHAnsi"/>
        </w:rPr>
        <w:t xml:space="preserve">). </w:t>
      </w:r>
      <w:r w:rsidR="00DA7A07">
        <w:rPr>
          <w:rFonts w:asciiTheme="minorHAnsi" w:hAnsiTheme="minorHAnsi" w:cstheme="minorHAnsi"/>
        </w:rPr>
        <w:br/>
      </w:r>
      <w:r w:rsidRPr="00B5370F">
        <w:rPr>
          <w:rFonts w:asciiTheme="minorHAnsi" w:hAnsiTheme="minorHAnsi" w:cstheme="minorHAnsi"/>
        </w:rPr>
        <w:t xml:space="preserve">Der Teilnahme am Wirtschaftsleben gleichgestellt ist die </w:t>
      </w:r>
      <w:r w:rsidRPr="00B5370F">
        <w:rPr>
          <w:rFonts w:asciiTheme="minorHAnsi" w:hAnsiTheme="minorHAnsi" w:cstheme="minorHAnsi"/>
          <w:b/>
        </w:rPr>
        <w:t>Teilnahme am Erwerb von Bildung</w:t>
      </w:r>
      <w:r w:rsidRPr="00B5370F">
        <w:rPr>
          <w:rFonts w:asciiTheme="minorHAnsi" w:hAnsiTheme="minorHAnsi" w:cstheme="minorHAnsi"/>
        </w:rPr>
        <w:t xml:space="preserve"> (Art. 12 Abs. 1 </w:t>
      </w:r>
      <w:proofErr w:type="spellStart"/>
      <w:r w:rsidRPr="00B5370F">
        <w:rPr>
          <w:rFonts w:asciiTheme="minorHAnsi" w:hAnsiTheme="minorHAnsi" w:cstheme="minorHAnsi"/>
        </w:rPr>
        <w:t>lit</w:t>
      </w:r>
      <w:proofErr w:type="spellEnd"/>
      <w:r w:rsidRPr="00B5370F">
        <w:rPr>
          <w:rFonts w:asciiTheme="minorHAnsi" w:hAnsiTheme="minorHAnsi" w:cstheme="minorHAnsi"/>
        </w:rPr>
        <w:t xml:space="preserve">. d </w:t>
      </w:r>
      <w:proofErr w:type="spellStart"/>
      <w:r w:rsidRPr="00B5370F">
        <w:rPr>
          <w:rFonts w:asciiTheme="minorHAnsi" w:hAnsiTheme="minorHAnsi" w:cstheme="minorHAnsi"/>
        </w:rPr>
        <w:t>BüG</w:t>
      </w:r>
      <w:proofErr w:type="spellEnd"/>
      <w:r w:rsidRPr="00B5370F">
        <w:rPr>
          <w:rFonts w:asciiTheme="minorHAnsi" w:hAnsiTheme="minorHAnsi" w:cstheme="minorHAnsi"/>
        </w:rPr>
        <w:t xml:space="preserve">, Art. 7 Abs. 2 </w:t>
      </w:r>
      <w:proofErr w:type="spellStart"/>
      <w:r w:rsidRPr="00B5370F">
        <w:rPr>
          <w:rFonts w:asciiTheme="minorHAnsi" w:hAnsiTheme="minorHAnsi" w:cstheme="minorHAnsi"/>
        </w:rPr>
        <w:t>BüV</w:t>
      </w:r>
      <w:proofErr w:type="spellEnd"/>
      <w:r w:rsidRPr="00B5370F">
        <w:rPr>
          <w:rFonts w:asciiTheme="minorHAnsi" w:hAnsiTheme="minorHAnsi" w:cstheme="minorHAnsi"/>
        </w:rPr>
        <w:t xml:space="preserve">). Diese zeigt sich im Nachweis einer </w:t>
      </w:r>
      <w:r w:rsidRPr="00B5370F">
        <w:rPr>
          <w:rFonts w:asciiTheme="minorHAnsi" w:hAnsiTheme="minorHAnsi" w:cstheme="minorHAnsi"/>
        </w:rPr>
        <w:lastRenderedPageBreak/>
        <w:t>aktuellen Aus- oder Weiterbildung zum Beispiel mittels eines Lehrvertrags oder</w:t>
      </w:r>
      <w:r w:rsidR="00BD5502">
        <w:rPr>
          <w:rFonts w:asciiTheme="minorHAnsi" w:hAnsiTheme="minorHAnsi" w:cstheme="minorHAnsi"/>
        </w:rPr>
        <w:t xml:space="preserve"> einer</w:t>
      </w:r>
      <w:r w:rsidRPr="00B5370F">
        <w:rPr>
          <w:rFonts w:asciiTheme="minorHAnsi" w:hAnsiTheme="minorHAnsi" w:cstheme="minorHAnsi"/>
        </w:rPr>
        <w:t xml:space="preserve"> </w:t>
      </w:r>
      <w:r w:rsidR="00BD5502">
        <w:t>Bestätigung der Ausbildungsinstitution.</w:t>
      </w:r>
      <w:r w:rsidRPr="00B5370F">
        <w:rPr>
          <w:rFonts w:asciiTheme="minorHAnsi" w:hAnsiTheme="minorHAnsi" w:cstheme="minorHAnsi"/>
        </w:rPr>
        <w:t xml:space="preserve"> </w:t>
      </w:r>
    </w:p>
    <w:p w:rsidR="00BD24FD" w:rsidRDefault="00B5370F" w:rsidP="000C17A9">
      <w:pPr>
        <w:tabs>
          <w:tab w:val="clear" w:pos="397"/>
          <w:tab w:val="left" w:pos="284"/>
          <w:tab w:val="left" w:pos="567"/>
        </w:tabs>
        <w:autoSpaceDE w:val="0"/>
        <w:autoSpaceDN w:val="0"/>
        <w:adjustRightInd w:val="0"/>
        <w:ind w:left="284" w:hanging="284"/>
        <w:rPr>
          <w:rFonts w:asciiTheme="minorHAnsi" w:hAnsiTheme="minorHAnsi" w:cstheme="minorHAnsi"/>
        </w:rPr>
      </w:pPr>
      <w:r w:rsidRPr="00B5370F">
        <w:rPr>
          <w:rFonts w:asciiTheme="minorHAnsi" w:hAnsiTheme="minorHAnsi" w:cstheme="minorHAnsi"/>
        </w:rPr>
        <w:t>-</w:t>
      </w:r>
      <w:r w:rsidRPr="00B5370F">
        <w:rPr>
          <w:rFonts w:asciiTheme="minorHAnsi" w:hAnsiTheme="minorHAnsi" w:cstheme="minorHAnsi"/>
        </w:rPr>
        <w:tab/>
        <w:t xml:space="preserve">Das Bundesrecht regelt die Fälle, bei denen eine Bewerberin oder ein Bewerber aufgrund einer </w:t>
      </w:r>
      <w:r w:rsidRPr="00B5370F">
        <w:rPr>
          <w:rFonts w:asciiTheme="minorHAnsi" w:hAnsiTheme="minorHAnsi" w:cstheme="minorHAnsi"/>
          <w:b/>
        </w:rPr>
        <w:t>Behinderung, einer Krankheit oder anderer gewichtiger persönlicher Umstände</w:t>
      </w:r>
      <w:r w:rsidRPr="00B5370F">
        <w:rPr>
          <w:rFonts w:asciiTheme="minorHAnsi" w:hAnsiTheme="minorHAnsi" w:cstheme="minorHAnsi"/>
        </w:rPr>
        <w:t xml:space="preserve"> die Integrationskriterien nicht erfüllen kann (Art. 12 Abs. 2 </w:t>
      </w:r>
      <w:proofErr w:type="spellStart"/>
      <w:r w:rsidRPr="00B5370F">
        <w:rPr>
          <w:rFonts w:asciiTheme="minorHAnsi" w:hAnsiTheme="minorHAnsi" w:cstheme="minorHAnsi"/>
        </w:rPr>
        <w:t>BüG</w:t>
      </w:r>
      <w:proofErr w:type="spellEnd"/>
      <w:r w:rsidRPr="00B5370F">
        <w:rPr>
          <w:rFonts w:asciiTheme="minorHAnsi" w:hAnsiTheme="minorHAnsi" w:cstheme="minorHAnsi"/>
        </w:rPr>
        <w:t xml:space="preserve">, Art. 9 </w:t>
      </w:r>
      <w:proofErr w:type="spellStart"/>
      <w:r w:rsidRPr="00B5370F">
        <w:rPr>
          <w:rFonts w:asciiTheme="minorHAnsi" w:hAnsiTheme="minorHAnsi" w:cstheme="minorHAnsi"/>
        </w:rPr>
        <w:t>BüV</w:t>
      </w:r>
      <w:proofErr w:type="spellEnd"/>
      <w:r w:rsidRPr="00B5370F">
        <w:rPr>
          <w:rFonts w:asciiTheme="minorHAnsi" w:hAnsiTheme="minorHAnsi" w:cstheme="minorHAnsi"/>
        </w:rPr>
        <w:t xml:space="preserve">). Wenn diese Umstände der Grund dafür sind, dass jemand nicht für seinen Lebensunterhalt sorgen oder die geforderten Sprachkenntnisse nicht erwerben kann, darf die Einbürgerung nicht verweigert werden. </w:t>
      </w:r>
    </w:p>
    <w:p w:rsidR="00B5370F" w:rsidRDefault="00B5370F" w:rsidP="00DA6321">
      <w:pPr>
        <w:pStyle w:val="36Titel3"/>
      </w:pPr>
      <w:bookmarkStart w:id="8" w:name="_Toc6405558"/>
      <w:r>
        <w:t>Vorgaben der Kantonsverfassung</w:t>
      </w:r>
      <w:bookmarkEnd w:id="8"/>
    </w:p>
    <w:p w:rsidR="000D653C" w:rsidRPr="00CC7738" w:rsidRDefault="000D653C" w:rsidP="000D653C">
      <w:pPr>
        <w:pStyle w:val="00Vorgabetext"/>
      </w:pPr>
      <w:r>
        <w:t>Art. 20 Abs. 2 der Kantonsver</w:t>
      </w:r>
      <w:r w:rsidR="00CC7738">
        <w:t>fassung (KV) lautet wie folgt</w:t>
      </w:r>
      <w:r w:rsidR="00CC7738" w:rsidRPr="00CC7738">
        <w:t xml:space="preserve">: </w:t>
      </w:r>
      <w:r w:rsidR="00CC7738">
        <w:t>"</w:t>
      </w:r>
      <w:r w:rsidRPr="00CC7738">
        <w:t>Das Gesetz bestimmt im Rahmen des Bundesrechts abschliessend die Voraussetzungen für den Erwerb und Verlust des Kantons- und des Gemeindebürgerrechts</w:t>
      </w:r>
      <w:r w:rsidR="00CC7738">
        <w:t>"</w:t>
      </w:r>
      <w:r w:rsidRPr="00CC7738">
        <w:t xml:space="preserve">. </w:t>
      </w:r>
    </w:p>
    <w:p w:rsidR="000D653C" w:rsidRDefault="000D653C" w:rsidP="000D653C">
      <w:pPr>
        <w:pStyle w:val="00Vorgabetext"/>
      </w:pPr>
      <w:r>
        <w:t>Die Kantonsverfassung enthält somit zwei Vorgaben, die bei der Revision des kantonalen Bürgerrechts zu beachten sind:</w:t>
      </w:r>
    </w:p>
    <w:p w:rsidR="000D653C" w:rsidRPr="000D653C" w:rsidRDefault="000D653C" w:rsidP="00207C16">
      <w:pPr>
        <w:pStyle w:val="00Vorgabetext"/>
        <w:tabs>
          <w:tab w:val="clear" w:pos="397"/>
          <w:tab w:val="left" w:pos="426"/>
        </w:tabs>
        <w:ind w:left="426" w:hanging="426"/>
      </w:pPr>
      <w:r w:rsidRPr="002069E3">
        <w:rPr>
          <w:rFonts w:cs="Arial"/>
        </w:rPr>
        <w:t xml:space="preserve">1. </w:t>
      </w:r>
      <w:r w:rsidR="00207C16">
        <w:rPr>
          <w:rFonts w:cs="Arial"/>
        </w:rPr>
        <w:tab/>
      </w:r>
      <w:r w:rsidRPr="002069E3">
        <w:rPr>
          <w:rFonts w:cs="Arial"/>
        </w:rPr>
        <w:t xml:space="preserve">Die Voraussetzungen für den Erwerb und Verlust des Kantons- und Gemeindebürgerrechts müssen </w:t>
      </w:r>
      <w:r w:rsidRPr="002069E3">
        <w:t>in der Form eines Gesetzes</w:t>
      </w:r>
      <w:r>
        <w:rPr>
          <w:rStyle w:val="Funotenzeichen"/>
        </w:rPr>
        <w:footnoteReference w:id="13"/>
      </w:r>
      <w:r w:rsidR="006478A5">
        <w:t xml:space="preserve"> erlassen werden</w:t>
      </w:r>
      <w:r w:rsidRPr="000D653C">
        <w:t>. Dieser Auftrag</w:t>
      </w:r>
      <w:r w:rsidR="00A17C22">
        <w:t xml:space="preserve"> der Kantonsverfassung</w:t>
      </w:r>
      <w:r w:rsidRPr="000D653C">
        <w:t xml:space="preserve"> wird mit dem vorliegenden Gesetzesentwurf erfüllt. </w:t>
      </w:r>
      <w:r w:rsidR="00A17C22">
        <w:t xml:space="preserve">Der Gesetzgebungsauftrag </w:t>
      </w:r>
      <w:r w:rsidRPr="000D653C">
        <w:t>hat allerdings nicht mehr die gleiche Bedeutung wie im Zeitp</w:t>
      </w:r>
      <w:r w:rsidR="00A17C22">
        <w:t>unkt der Inkraftsetzung der Kantonsverfassung</w:t>
      </w:r>
      <w:r w:rsidR="00956E85">
        <w:t xml:space="preserve"> </w:t>
      </w:r>
      <w:r w:rsidR="006542FD">
        <w:t>im Jahre 2006</w:t>
      </w:r>
      <w:r w:rsidRPr="000D653C">
        <w:t>, da der Bund in der Zwischenzeit die Einbürgerungsvoraussetzungen detailliert geregelt hat und deshalb nur wenige Regelungsmaterien verbleiben, die in Form eines kantonalen Gesetzes erlassen werden müssen.</w:t>
      </w:r>
    </w:p>
    <w:p w:rsidR="000D653C" w:rsidRDefault="000D653C" w:rsidP="00207C16">
      <w:pPr>
        <w:pStyle w:val="00Vorgabetext"/>
        <w:tabs>
          <w:tab w:val="clear" w:pos="397"/>
          <w:tab w:val="left" w:pos="426"/>
        </w:tabs>
        <w:ind w:left="426" w:hanging="426"/>
      </w:pPr>
      <w:r w:rsidRPr="000D653C">
        <w:t xml:space="preserve">2. </w:t>
      </w:r>
      <w:r w:rsidR="00207C16">
        <w:tab/>
      </w:r>
      <w:r w:rsidRPr="000D653C">
        <w:t>Die Verfassung verlangt weiter, dass die Einbürgerungsvoraussetzungen im kantonalen Recht abschliessend geregelt werden, d.h. kommunale Rechtsetzung soll auf diesem Gebiet nicht mehr zulässig sein</w:t>
      </w:r>
      <w:r w:rsidRPr="000D653C">
        <w:rPr>
          <w:vertAlign w:val="superscript"/>
        </w:rPr>
        <w:footnoteReference w:id="14"/>
      </w:r>
      <w:r w:rsidRPr="000D653C">
        <w:t>. Nach dem Willen des Verfassungsgebers sollen in allen Zürcher Gemeinden die gleichen Einbürgerungsvoraussetzungen gelten.</w:t>
      </w:r>
      <w:r w:rsidR="00352DD7">
        <w:t xml:space="preserve"> </w:t>
      </w:r>
      <w:r w:rsidR="00352DD7" w:rsidRPr="00260A87">
        <w:t>Die Chancen einer Einbürgerung sollen nicht vom jeweiligen Wohnort abhängig sein.</w:t>
      </w:r>
      <w:r w:rsidRPr="000D653C">
        <w:t xml:space="preserve"> Dieser Auftrag ist in der </w:t>
      </w:r>
      <w:proofErr w:type="spellStart"/>
      <w:r w:rsidRPr="000D653C">
        <w:t>KBüV</w:t>
      </w:r>
      <w:proofErr w:type="spellEnd"/>
      <w:r w:rsidRPr="000D653C">
        <w:t xml:space="preserve"> vom 23. August 2017 berei</w:t>
      </w:r>
      <w:r w:rsidR="001E1002">
        <w:t xml:space="preserve">ts weitgehend </w:t>
      </w:r>
      <w:r w:rsidRPr="000D653C">
        <w:t>umgesetzt: Seit dem 1. Januar 2018 stehen den Gemeinden keine Rechtsetzungskompetenzen bei den Einbürgerungsvoraussetzungen mehr zu. Damit ist ein wichtiger Schritt hin zu einer rechtsgleichen Behandlung aller Einbürgerungswilligen im Kanton Zürich getan.</w:t>
      </w:r>
    </w:p>
    <w:p w:rsidR="00260A87" w:rsidRDefault="00260A87" w:rsidP="000D653C">
      <w:pPr>
        <w:pStyle w:val="00Vorgabetext"/>
      </w:pPr>
    </w:p>
    <w:p w:rsidR="00260A87" w:rsidRDefault="00260A87" w:rsidP="000D653C">
      <w:pPr>
        <w:pStyle w:val="00Vorgabetext"/>
      </w:pPr>
    </w:p>
    <w:p w:rsidR="00260A87" w:rsidRDefault="00260A87" w:rsidP="000D653C">
      <w:pPr>
        <w:pStyle w:val="00Vorgabetext"/>
      </w:pPr>
    </w:p>
    <w:p w:rsidR="00260A87" w:rsidRDefault="00260A87" w:rsidP="000D653C">
      <w:pPr>
        <w:pStyle w:val="00Vorgabetext"/>
      </w:pPr>
    </w:p>
    <w:p w:rsidR="00260A87" w:rsidRPr="000D653C" w:rsidRDefault="00260A87" w:rsidP="000D653C">
      <w:pPr>
        <w:pStyle w:val="00Vorgabetext"/>
      </w:pPr>
    </w:p>
    <w:p w:rsidR="000D653C" w:rsidRDefault="000D653C" w:rsidP="00DA6321">
      <w:pPr>
        <w:pStyle w:val="36Titel3"/>
      </w:pPr>
      <w:bookmarkStart w:id="9" w:name="_Toc6405559"/>
      <w:r>
        <w:lastRenderedPageBreak/>
        <w:t>Zahlen zur Einbürgerung</w:t>
      </w:r>
      <w:bookmarkEnd w:id="9"/>
    </w:p>
    <w:p w:rsidR="002B1BE6" w:rsidRPr="00E251AE" w:rsidRDefault="002B1BE6" w:rsidP="00E251AE">
      <w:pPr>
        <w:spacing w:after="120"/>
      </w:pPr>
      <w:r>
        <w:t>Im Jah</w:t>
      </w:r>
      <w:r w:rsidR="00FD7237">
        <w:t xml:space="preserve">r 2018 wurden im Kanton Zürich 8453 </w:t>
      </w:r>
      <w:r>
        <w:t>Personen</w:t>
      </w:r>
      <w:r w:rsidR="001E1002">
        <w:rPr>
          <w:rStyle w:val="Funotenzeichen"/>
        </w:rPr>
        <w:footnoteReference w:id="15"/>
      </w:r>
      <w:r>
        <w:t xml:space="preserve"> im ordentlichen Verfahren eingebü</w:t>
      </w:r>
      <w:r w:rsidR="00FD7237">
        <w:t>rgert, in der Schweiz waren es 32 702</w:t>
      </w:r>
      <w:r>
        <w:t xml:space="preserve"> </w:t>
      </w:r>
      <w:r w:rsidR="00E251AE">
        <w:t>Personen</w:t>
      </w:r>
      <w:r w:rsidRPr="002B1BE6">
        <w:t>. Die Entwicklung der Einbürgerungen</w:t>
      </w:r>
      <w:r w:rsidR="00E251AE">
        <w:t xml:space="preserve"> in den vergangenen 26</w:t>
      </w:r>
      <w:r w:rsidRPr="002B1BE6">
        <w:t xml:space="preserve"> Jahren ist aus de</w:t>
      </w:r>
      <w:r w:rsidR="00260A87">
        <w:t>r folgenden Grafik ersichtlich:</w:t>
      </w:r>
      <w:r w:rsidR="00260A87">
        <w:br/>
      </w:r>
    </w:p>
    <w:p w:rsidR="00E251AE" w:rsidRPr="00E251AE" w:rsidRDefault="002B1BE6" w:rsidP="000D653C">
      <w:pPr>
        <w:pStyle w:val="00Vorgabetext"/>
        <w:rPr>
          <w:i/>
          <w:lang w:eastAsia="en-US"/>
        </w:rPr>
      </w:pPr>
      <w:r>
        <w:rPr>
          <w:noProof/>
        </w:rPr>
        <w:drawing>
          <wp:inline distT="0" distB="0" distL="0" distR="0" wp14:anchorId="247384EC" wp14:editId="7EBF0CB3">
            <wp:extent cx="5064428" cy="2545731"/>
            <wp:effectExtent l="0" t="0" r="3175"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7300" cy="2547175"/>
                    </a:xfrm>
                    <a:prstGeom prst="rect">
                      <a:avLst/>
                    </a:prstGeom>
                    <a:noFill/>
                  </pic:spPr>
                </pic:pic>
              </a:graphicData>
            </a:graphic>
          </wp:inline>
        </w:drawing>
      </w:r>
    </w:p>
    <w:p w:rsidR="000D653C" w:rsidRDefault="000D653C" w:rsidP="00102381">
      <w:pPr>
        <w:pStyle w:val="35Titel2"/>
      </w:pPr>
      <w:bookmarkStart w:id="10" w:name="_Toc6405560"/>
      <w:r>
        <w:t>Grundsätze der Revision</w:t>
      </w:r>
      <w:bookmarkEnd w:id="10"/>
    </w:p>
    <w:p w:rsidR="000D653C" w:rsidRDefault="000D653C" w:rsidP="000D653C">
      <w:pPr>
        <w:pStyle w:val="00Vorgabetext"/>
      </w:pPr>
      <w:r w:rsidRPr="0088689E">
        <w:t>Bei der Revi</w:t>
      </w:r>
      <w:r>
        <w:t>sion des kantonalen Bürgerrechtsgesetzes sind die</w:t>
      </w:r>
      <w:r w:rsidRPr="0088689E">
        <w:t xml:space="preserve"> folgenden Grundsätze wegleitend: </w:t>
      </w:r>
    </w:p>
    <w:p w:rsidR="000D653C" w:rsidRDefault="00E006B5" w:rsidP="000D653C">
      <w:pPr>
        <w:pStyle w:val="00Vorgabetext"/>
        <w:ind w:left="426" w:hanging="426"/>
        <w:rPr>
          <w:rFonts w:cs="Arial"/>
        </w:rPr>
      </w:pPr>
      <w:r>
        <w:t xml:space="preserve">1. </w:t>
      </w:r>
      <w:r>
        <w:tab/>
      </w:r>
      <w:r w:rsidR="00260A87">
        <w:tab/>
      </w:r>
      <w:r w:rsidRPr="00E006B5">
        <w:t>Kernpunkt der Revision ist die Anpas</w:t>
      </w:r>
      <w:r w:rsidR="000C685F">
        <w:t>sung der kantonalen Gesetzes</w:t>
      </w:r>
      <w:r w:rsidRPr="00E006B5">
        <w:t xml:space="preserve">bestimmungen an das neue Bundesrecht. </w:t>
      </w:r>
      <w:r w:rsidRPr="00E006B5">
        <w:rPr>
          <w:rFonts w:cs="Arial"/>
        </w:rPr>
        <w:t>Da der Spielraum für eigenständiges kantonales Recht durch das Bundesrecht stark eingeschränkt ist, kann sich das Bürgerrechtsgesetz auf einige wenige grundlegende Bestimmungen beschränken.</w:t>
      </w:r>
      <w:r w:rsidRPr="00E006B5">
        <w:rPr>
          <w:rFonts w:eastAsia="Arial Unicode MS"/>
        </w:rPr>
        <w:t xml:space="preserve"> Auf Wiederholungen von Bundesrecht wird verzichtet. Das kantonale Bürgerrechtsgesetz ist deshalb kein vollständiges Ganzes, denn es gibt den Einbürgerungswilligen und den Behörden keine abschliessende Auskunft über die Einbürgerungsvoraussetzungen. Hierzu sind auf jeden Fall das Bürgerrechtsgesetz und die Bürgerrechtsverordnung des Bundes beizuzie</w:t>
      </w:r>
      <w:r w:rsidRPr="00E006B5">
        <w:t>hen.</w:t>
      </w:r>
    </w:p>
    <w:p w:rsidR="000D653C" w:rsidRPr="003F69BA" w:rsidRDefault="000D653C" w:rsidP="000D653C">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after="120"/>
        <w:ind w:left="426" w:hanging="426"/>
        <w:rPr>
          <w:rFonts w:asciiTheme="minorHAnsi" w:hAnsiTheme="minorHAnsi" w:cstheme="minorHAnsi"/>
        </w:rPr>
      </w:pPr>
      <w:r>
        <w:t>2.</w:t>
      </w:r>
      <w:r>
        <w:tab/>
      </w:r>
      <w:r w:rsidRPr="001C7616">
        <w:t>Die Einbürgerung von in der Schweiz lebenden Ausländerinnen und Ausländern wirkt sich positiv auf deren gesellschaftliche und politische Integration aus</w:t>
      </w:r>
      <w:r>
        <w:rPr>
          <w:rStyle w:val="Funotenzeichen"/>
        </w:rPr>
        <w:footnoteReference w:id="16"/>
      </w:r>
      <w:r w:rsidRPr="001C7616">
        <w:t>.</w:t>
      </w:r>
      <w:r>
        <w:t xml:space="preserve"> </w:t>
      </w:r>
      <w:r w:rsidRPr="001C7616">
        <w:t>Die Studie «Einbürgerung beschleunigt Integration» (Schweizerischer Nationalfonds 2015) zeigt, dass die positiven Effekte der Einbürgerung umso grösser sind, je früher sich eine Person einbürgern lässt. D</w:t>
      </w:r>
      <w:r w:rsidR="00EA271B">
        <w:t>iese Erkenntnisse legen nahe</w:t>
      </w:r>
      <w:r w:rsidRPr="001C7616">
        <w:t xml:space="preserve">, die kantonalen Anforderungen für </w:t>
      </w:r>
      <w:r w:rsidRPr="001C7616">
        <w:lastRenderedPageBreak/>
        <w:t>Einbürgerungen</w:t>
      </w:r>
      <w:r>
        <w:t xml:space="preserve"> im Regelfall</w:t>
      </w:r>
      <w:r w:rsidRPr="001C7616">
        <w:t xml:space="preserve"> nicht höhe</w:t>
      </w:r>
      <w:r w:rsidR="005B11C9">
        <w:t>r anzusetzen als im Bundesrech</w:t>
      </w:r>
      <w:r w:rsidR="005B11C9" w:rsidRPr="00165E94">
        <w:t>t</w:t>
      </w:r>
      <w:r w:rsidR="000C685F" w:rsidRPr="00165E94">
        <w:t>, das</w:t>
      </w:r>
      <w:r w:rsidR="00260A87" w:rsidRPr="00165E94">
        <w:t xml:space="preserve"> auf den 1. Januar 2018</w:t>
      </w:r>
      <w:r w:rsidR="000C685F" w:rsidRPr="00165E94">
        <w:t xml:space="preserve"> erheblich verschärft wurde</w:t>
      </w:r>
      <w:r w:rsidR="00E02380" w:rsidRPr="00165E94">
        <w:t>.</w:t>
      </w:r>
    </w:p>
    <w:p w:rsidR="000D653C" w:rsidRDefault="000D653C" w:rsidP="000D653C">
      <w:pPr>
        <w:pStyle w:val="00Vorgabetext"/>
        <w:tabs>
          <w:tab w:val="clear" w:pos="397"/>
          <w:tab w:val="left" w:pos="426"/>
        </w:tabs>
        <w:spacing w:before="240"/>
        <w:ind w:left="426" w:hanging="426"/>
        <w:rPr>
          <w:rFonts w:cs="Arial"/>
        </w:rPr>
      </w:pPr>
      <w:r>
        <w:rPr>
          <w:rFonts w:cs="Arial"/>
        </w:rPr>
        <w:t>3.</w:t>
      </w:r>
      <w:r>
        <w:rPr>
          <w:rFonts w:cs="Arial"/>
        </w:rPr>
        <w:tab/>
        <w:t>Die Revision orientiert sich am Grundsatz, dass für die Erteilung des Kantons- und Gemeindebürgerrechts die gleichen Voraussetzungen gelten sollen wie für die Erteilung der Einbürgerungsbewilligung des Bundes. Damit kann der Kanton Zürich einen wirksamen Beitrag zur landesweiten Harmonisierung der Einbürgerungsvoraussetzungen leisten. Ein Viertel aller Einbürgerungen in der Schweiz erfolgt im Kanton Zürich.</w:t>
      </w:r>
    </w:p>
    <w:p w:rsidR="000D653C" w:rsidRDefault="000D653C" w:rsidP="000D653C">
      <w:pPr>
        <w:pStyle w:val="00Vorgabetext"/>
        <w:tabs>
          <w:tab w:val="clear" w:pos="397"/>
          <w:tab w:val="left" w:pos="426"/>
        </w:tabs>
        <w:ind w:left="425" w:hanging="425"/>
        <w:rPr>
          <w:rFonts w:cs="Arial"/>
        </w:rPr>
      </w:pPr>
      <w:r>
        <w:rPr>
          <w:rFonts w:cs="Arial"/>
        </w:rPr>
        <w:t>4.</w:t>
      </w:r>
      <w:r>
        <w:rPr>
          <w:rFonts w:cs="Arial"/>
        </w:rPr>
        <w:tab/>
      </w:r>
      <w:r w:rsidR="00176F7E">
        <w:rPr>
          <w:rFonts w:cs="Arial"/>
        </w:rPr>
        <w:t>Das Bundesrecht ist dort zu ergänzen</w:t>
      </w:r>
      <w:r w:rsidRPr="00433A91">
        <w:rPr>
          <w:rFonts w:cs="Arial"/>
        </w:rPr>
        <w:t xml:space="preserve">, wo die Kantonsverfassung zusätzliche Anforderungen an die Integration stellt. Dies betrifft die Kenntnisse der deutschen Sprache und das </w:t>
      </w:r>
      <w:proofErr w:type="spellStart"/>
      <w:r>
        <w:rPr>
          <w:rFonts w:cs="Arial"/>
        </w:rPr>
        <w:t>Vertrauts</w:t>
      </w:r>
      <w:r w:rsidRPr="00433A91">
        <w:rPr>
          <w:rFonts w:cs="Arial"/>
        </w:rPr>
        <w:t>ein</w:t>
      </w:r>
      <w:proofErr w:type="spellEnd"/>
      <w:r w:rsidRPr="00433A91">
        <w:rPr>
          <w:rFonts w:cs="Arial"/>
        </w:rPr>
        <w:t xml:space="preserve"> mit den hiesigen Verhältnissen (Art. 20 Abs. 3</w:t>
      </w:r>
      <w:r w:rsidR="00102381">
        <w:rPr>
          <w:rFonts w:cs="Arial"/>
        </w:rPr>
        <w:t xml:space="preserve"> </w:t>
      </w:r>
      <w:proofErr w:type="spellStart"/>
      <w:r w:rsidR="00102381">
        <w:rPr>
          <w:rFonts w:cs="Arial"/>
        </w:rPr>
        <w:t>lit</w:t>
      </w:r>
      <w:proofErr w:type="spellEnd"/>
      <w:r w:rsidR="00102381">
        <w:rPr>
          <w:rFonts w:cs="Arial"/>
        </w:rPr>
        <w:t>. a und c</w:t>
      </w:r>
      <w:r w:rsidRPr="00433A91">
        <w:rPr>
          <w:rFonts w:cs="Arial"/>
        </w:rPr>
        <w:t xml:space="preserve"> KV).</w:t>
      </w:r>
      <w:r>
        <w:rPr>
          <w:rFonts w:cs="Arial"/>
        </w:rPr>
        <w:t xml:space="preserve"> Zusätzlicher Handlungsbedarf besteht bei straffälligen Jugendlichen, bei denen Urteile wegen Verbrechen und Vergehen im Einbürgerungsverfahren angemessen berücksichtigt werden sollen. </w:t>
      </w:r>
    </w:p>
    <w:p w:rsidR="000D653C" w:rsidRDefault="000D653C" w:rsidP="000D653C">
      <w:pPr>
        <w:pStyle w:val="00Vorgabetext"/>
        <w:tabs>
          <w:tab w:val="left" w:pos="426"/>
        </w:tabs>
        <w:ind w:left="426" w:hanging="426"/>
        <w:rPr>
          <w:rFonts w:cs="Arial"/>
        </w:rPr>
      </w:pPr>
      <w:r>
        <w:rPr>
          <w:rFonts w:cs="Arial"/>
        </w:rPr>
        <w:t>5.</w:t>
      </w:r>
      <w:r>
        <w:rPr>
          <w:rFonts w:cs="Arial"/>
        </w:rPr>
        <w:tab/>
      </w:r>
      <w:r>
        <w:rPr>
          <w:rFonts w:cs="Arial"/>
        </w:rPr>
        <w:tab/>
      </w:r>
      <w:r w:rsidR="00722303" w:rsidRPr="00165E94">
        <w:rPr>
          <w:rFonts w:cs="Arial"/>
        </w:rPr>
        <w:t>Die Gemei</w:t>
      </w:r>
      <w:r w:rsidR="00CA0B5E">
        <w:rPr>
          <w:rFonts w:cs="Arial"/>
        </w:rPr>
        <w:t xml:space="preserve">nden haben </w:t>
      </w:r>
      <w:r w:rsidR="00722303" w:rsidRPr="00165E94">
        <w:rPr>
          <w:rFonts w:cs="Arial"/>
        </w:rPr>
        <w:t>eine Schlüsselpos</w:t>
      </w:r>
      <w:r w:rsidR="003D389D" w:rsidRPr="00165E94">
        <w:rPr>
          <w:rFonts w:cs="Arial"/>
        </w:rPr>
        <w:t>i</w:t>
      </w:r>
      <w:r w:rsidR="00722303" w:rsidRPr="00165E94">
        <w:rPr>
          <w:rFonts w:cs="Arial"/>
        </w:rPr>
        <w:t>tion im dreistufigen Einbür</w:t>
      </w:r>
      <w:r w:rsidR="00BD24FD" w:rsidRPr="00165E94">
        <w:rPr>
          <w:rFonts w:cs="Arial"/>
        </w:rPr>
        <w:t>ger</w:t>
      </w:r>
      <w:r w:rsidR="00722303" w:rsidRPr="00165E94">
        <w:rPr>
          <w:rFonts w:cs="Arial"/>
        </w:rPr>
        <w:t>un</w:t>
      </w:r>
      <w:r w:rsidR="003D389D" w:rsidRPr="00165E94">
        <w:rPr>
          <w:rFonts w:cs="Arial"/>
        </w:rPr>
        <w:t>gsverfahren</w:t>
      </w:r>
      <w:r w:rsidR="00722303" w:rsidRPr="00165E94">
        <w:rPr>
          <w:rStyle w:val="Funotenzeichen"/>
          <w:rFonts w:cs="Arial"/>
        </w:rPr>
        <w:footnoteReference w:id="17"/>
      </w:r>
      <w:r w:rsidR="00722303" w:rsidRPr="00165E94">
        <w:rPr>
          <w:rFonts w:cs="Arial"/>
        </w:rPr>
        <w:t>.</w:t>
      </w:r>
      <w:r w:rsidR="00722303">
        <w:rPr>
          <w:rFonts w:cs="Arial"/>
        </w:rPr>
        <w:t xml:space="preserve"> </w:t>
      </w:r>
      <w:r w:rsidR="00BF71AA">
        <w:rPr>
          <w:rFonts w:cs="Arial"/>
        </w:rPr>
        <w:t>Art. 20 Abs. 1 KV</w:t>
      </w:r>
      <w:r>
        <w:rPr>
          <w:rFonts w:cs="Arial"/>
        </w:rPr>
        <w:t xml:space="preserve"> bestimmt, dass das Kantonsbürgerrecht auf dem Gemeindebürgerrecht beruht. Es bedarf deshalb einer sorgfältigen Interessenabwägung, welche Aufgaben im Einbürgerungsverfahren von den Gemeinden und welche vom Kanton wahrgenommen werden sollen. </w:t>
      </w:r>
      <w:r w:rsidRPr="0032160D">
        <w:rPr>
          <w:rFonts w:cs="Arial"/>
        </w:rPr>
        <w:t xml:space="preserve">Die </w:t>
      </w:r>
      <w:r>
        <w:rPr>
          <w:rFonts w:cs="Arial"/>
        </w:rPr>
        <w:t xml:space="preserve">geltende </w:t>
      </w:r>
      <w:r w:rsidRPr="0032160D">
        <w:rPr>
          <w:rFonts w:cs="Arial"/>
        </w:rPr>
        <w:t xml:space="preserve">Aufgabenteilung geht vom Grundsatz aus, dass der Kanton alle </w:t>
      </w:r>
      <w:r>
        <w:rPr>
          <w:rFonts w:cs="Arial"/>
        </w:rPr>
        <w:t>Einbürgerungsv</w:t>
      </w:r>
      <w:r w:rsidRPr="0032160D">
        <w:rPr>
          <w:rFonts w:cs="Arial"/>
        </w:rPr>
        <w:t>oraussetzungen prüft, die anhand v</w:t>
      </w:r>
      <w:r>
        <w:rPr>
          <w:rFonts w:cs="Arial"/>
        </w:rPr>
        <w:t>on Registern</w:t>
      </w:r>
      <w:r w:rsidR="008B484F">
        <w:rPr>
          <w:rFonts w:cs="Arial"/>
        </w:rPr>
        <w:t xml:space="preserve"> geklärt werden können und bei denen sich keine Ermessensfragen stellen. Demgegenüber prüfen die Gemeinden diejenigen Integrationskriterien</w:t>
      </w:r>
      <w:r w:rsidRPr="0032160D">
        <w:rPr>
          <w:rFonts w:cs="Arial"/>
        </w:rPr>
        <w:t>,</w:t>
      </w:r>
      <w:r w:rsidR="00BF71AA">
        <w:rPr>
          <w:rFonts w:cs="Arial"/>
        </w:rPr>
        <w:t xml:space="preserve"> die einen Ermessensspielraum aufweisen und</w:t>
      </w:r>
      <w:r w:rsidR="008B484F">
        <w:rPr>
          <w:rFonts w:cs="Arial"/>
        </w:rPr>
        <w:t xml:space="preserve"> die zweckmässigerweise</w:t>
      </w:r>
      <w:r>
        <w:rPr>
          <w:rFonts w:cs="Arial"/>
        </w:rPr>
        <w:t xml:space="preserve"> in direktem Gespräch mit der Bewerberin oder dem Bewerber</w:t>
      </w:r>
      <w:r w:rsidR="008B484F">
        <w:rPr>
          <w:rFonts w:cs="Arial"/>
        </w:rPr>
        <w:t xml:space="preserve"> beurteilt</w:t>
      </w:r>
      <w:r w:rsidRPr="0032160D">
        <w:rPr>
          <w:rFonts w:cs="Arial"/>
        </w:rPr>
        <w:t xml:space="preserve"> werden</w:t>
      </w:r>
      <w:r>
        <w:rPr>
          <w:rFonts w:cs="Arial"/>
        </w:rPr>
        <w:t>.</w:t>
      </w:r>
    </w:p>
    <w:p w:rsidR="00C2132B" w:rsidRPr="00C85AD1" w:rsidRDefault="000D653C" w:rsidP="00C85AD1">
      <w:pPr>
        <w:pStyle w:val="00Vorgabetext"/>
        <w:tabs>
          <w:tab w:val="left" w:pos="426"/>
        </w:tabs>
        <w:ind w:left="426" w:hanging="426"/>
        <w:rPr>
          <w:rFonts w:cs="Arial"/>
        </w:rPr>
      </w:pPr>
      <w:r>
        <w:rPr>
          <w:rFonts w:cs="Arial"/>
        </w:rPr>
        <w:t>6.</w:t>
      </w:r>
      <w:r>
        <w:rPr>
          <w:rFonts w:cs="Arial"/>
        </w:rPr>
        <w:tab/>
      </w:r>
      <w:r>
        <w:rPr>
          <w:rFonts w:cs="Arial"/>
        </w:rPr>
        <w:tab/>
      </w:r>
      <w:r w:rsidR="00385638">
        <w:rPr>
          <w:rFonts w:cs="Arial"/>
        </w:rPr>
        <w:t>Die Vorlage orientiert sich an dem seit dem 1. Januar 2018 geltenden Recht (Bundesrecht und kantonale Bürgerr</w:t>
      </w:r>
      <w:r w:rsidR="001D3A5B">
        <w:rPr>
          <w:rFonts w:cs="Arial"/>
        </w:rPr>
        <w:t>echtsverordnung) und</w:t>
      </w:r>
      <w:r w:rsidR="00385638">
        <w:rPr>
          <w:rFonts w:cs="Arial"/>
        </w:rPr>
        <w:t xml:space="preserve"> an der heutigen Praxis. </w:t>
      </w:r>
      <w:r w:rsidR="005B551E" w:rsidRPr="00165E94">
        <w:rPr>
          <w:rFonts w:cs="Arial"/>
        </w:rPr>
        <w:t>Das neue Recht wir</w:t>
      </w:r>
      <w:r w:rsidR="00A32162" w:rsidRPr="00165E94">
        <w:rPr>
          <w:rFonts w:cs="Arial"/>
        </w:rPr>
        <w:t>d</w:t>
      </w:r>
      <w:r w:rsidR="005B551E" w:rsidRPr="00165E94">
        <w:rPr>
          <w:rFonts w:cs="Arial"/>
        </w:rPr>
        <w:t xml:space="preserve"> </w:t>
      </w:r>
      <w:r w:rsidRPr="00165E94">
        <w:rPr>
          <w:rFonts w:cs="Arial"/>
        </w:rPr>
        <w:t>von den Zürcher Gemeinden in einem anspru</w:t>
      </w:r>
      <w:r w:rsidR="00A32162" w:rsidRPr="00165E94">
        <w:rPr>
          <w:rFonts w:cs="Arial"/>
        </w:rPr>
        <w:t>chsvollen Prozess umgesetzt</w:t>
      </w:r>
      <w:r w:rsidR="00385638">
        <w:rPr>
          <w:rFonts w:cs="Arial"/>
        </w:rPr>
        <w:t xml:space="preserve">. Die </w:t>
      </w:r>
      <w:r w:rsidRPr="00165E94">
        <w:rPr>
          <w:rFonts w:cs="Arial"/>
        </w:rPr>
        <w:t xml:space="preserve">Umsetzung verläuft erfolgreich und </w:t>
      </w:r>
      <w:r w:rsidR="001D3A5B">
        <w:rPr>
          <w:rFonts w:cs="Arial"/>
        </w:rPr>
        <w:t xml:space="preserve">die </w:t>
      </w:r>
      <w:r w:rsidR="00151258">
        <w:rPr>
          <w:rFonts w:cs="Arial"/>
        </w:rPr>
        <w:t>kantonalen</w:t>
      </w:r>
      <w:r w:rsidR="00385638">
        <w:rPr>
          <w:rFonts w:cs="Arial"/>
        </w:rPr>
        <w:t xml:space="preserve"> Rahmenbedingungen </w:t>
      </w:r>
      <w:r w:rsidRPr="00165E94">
        <w:rPr>
          <w:rFonts w:cs="Arial"/>
        </w:rPr>
        <w:t>soll</w:t>
      </w:r>
      <w:r w:rsidR="00263606">
        <w:rPr>
          <w:rFonts w:cs="Arial"/>
        </w:rPr>
        <w:t>en</w:t>
      </w:r>
      <w:r w:rsidR="001D3A5B">
        <w:rPr>
          <w:rFonts w:cs="Arial"/>
        </w:rPr>
        <w:t xml:space="preserve"> deshalb nur </w:t>
      </w:r>
      <w:r w:rsidR="00263606">
        <w:rPr>
          <w:rFonts w:cs="Arial"/>
        </w:rPr>
        <w:t>geändert</w:t>
      </w:r>
      <w:r w:rsidR="001D3A5B">
        <w:rPr>
          <w:rFonts w:cs="Arial"/>
        </w:rPr>
        <w:t xml:space="preserve"> werden, wenn</w:t>
      </w:r>
      <w:r w:rsidR="00263606">
        <w:rPr>
          <w:rFonts w:cs="Arial"/>
        </w:rPr>
        <w:t xml:space="preserve"> ein Bedarf an Änderungen</w:t>
      </w:r>
      <w:r w:rsidR="001D3A5B">
        <w:rPr>
          <w:rFonts w:cs="Arial"/>
        </w:rPr>
        <w:t xml:space="preserve"> </w:t>
      </w:r>
      <w:r w:rsidR="00263606">
        <w:rPr>
          <w:rFonts w:cs="Arial"/>
        </w:rPr>
        <w:t>aus Sicht des übergeordneten Rechts klar ausgewiesen</w:t>
      </w:r>
      <w:r w:rsidR="001D3A5B">
        <w:rPr>
          <w:rFonts w:cs="Arial"/>
        </w:rPr>
        <w:t xml:space="preserve"> ist. </w:t>
      </w:r>
    </w:p>
    <w:p w:rsidR="000D653C" w:rsidRDefault="000D653C" w:rsidP="00102381">
      <w:pPr>
        <w:pStyle w:val="35Titel2"/>
      </w:pPr>
      <w:bookmarkStart w:id="11" w:name="_Toc6405561"/>
      <w:r>
        <w:t>Inhalt der Vorlage</w:t>
      </w:r>
      <w:bookmarkEnd w:id="11"/>
    </w:p>
    <w:p w:rsidR="000D653C" w:rsidRPr="00982147" w:rsidRDefault="000D653C" w:rsidP="000D653C">
      <w:pPr>
        <w:pStyle w:val="00Vorgabetext"/>
      </w:pPr>
      <w:r>
        <w:t xml:space="preserve">Der </w:t>
      </w:r>
      <w:proofErr w:type="spellStart"/>
      <w:r>
        <w:t>Vernehmlassungsentwurf</w:t>
      </w:r>
      <w:proofErr w:type="spellEnd"/>
      <w:r w:rsidRPr="00982147">
        <w:t xml:space="preserve"> gliedert sich i</w:t>
      </w:r>
      <w:r>
        <w:t xml:space="preserve">n </w:t>
      </w:r>
      <w:r w:rsidRPr="00D94770">
        <w:rPr>
          <w:b/>
        </w:rPr>
        <w:t>sechs Abschnitte</w:t>
      </w:r>
      <w:r w:rsidRPr="00982147">
        <w:t xml:space="preserve"> </w:t>
      </w:r>
      <w:r>
        <w:t xml:space="preserve">mit </w:t>
      </w:r>
      <w:r w:rsidR="00F0230D">
        <w:rPr>
          <w:b/>
        </w:rPr>
        <w:t>24</w:t>
      </w:r>
      <w:r w:rsidRPr="00527079">
        <w:rPr>
          <w:b/>
        </w:rPr>
        <w:t xml:space="preserve"> Bestimmungen</w:t>
      </w:r>
      <w:r w:rsidR="006542FD">
        <w:t>.</w:t>
      </w:r>
    </w:p>
    <w:p w:rsidR="000D653C" w:rsidRPr="00793EF8" w:rsidRDefault="000D653C" w:rsidP="000D653C">
      <w:pPr>
        <w:tabs>
          <w:tab w:val="clear" w:pos="397"/>
          <w:tab w:val="clear" w:pos="794"/>
          <w:tab w:val="left" w:pos="709"/>
          <w:tab w:val="left" w:pos="851"/>
          <w:tab w:val="left" w:pos="993"/>
        </w:tabs>
        <w:autoSpaceDE w:val="0"/>
        <w:autoSpaceDN w:val="0"/>
        <w:adjustRightInd w:val="0"/>
        <w:spacing w:before="240" w:after="60"/>
        <w:rPr>
          <w:b/>
        </w:rPr>
      </w:pPr>
      <w:r>
        <w:rPr>
          <w:b/>
        </w:rPr>
        <w:t>1. Abschnitt: Gegenstand</w:t>
      </w:r>
    </w:p>
    <w:p w:rsidR="00C2132B" w:rsidRDefault="000D653C" w:rsidP="000D653C">
      <w:pPr>
        <w:pStyle w:val="Listenabsatz"/>
        <w:tabs>
          <w:tab w:val="clear" w:pos="397"/>
          <w:tab w:val="clear" w:pos="794"/>
          <w:tab w:val="left" w:pos="709"/>
          <w:tab w:val="left" w:pos="851"/>
          <w:tab w:val="left" w:pos="993"/>
        </w:tabs>
        <w:autoSpaceDE w:val="0"/>
        <w:autoSpaceDN w:val="0"/>
        <w:adjustRightInd w:val="0"/>
        <w:spacing w:before="0"/>
        <w:ind w:left="0"/>
        <w:rPr>
          <w:rFonts w:cs="Arial"/>
        </w:rPr>
      </w:pPr>
      <w:r w:rsidRPr="00FB5B86">
        <w:rPr>
          <w:rFonts w:cs="Arial"/>
          <w:bCs/>
        </w:rPr>
        <w:t>Das Gesetz regelt den Erwerb und den Verlust des Kantonsbürgerrechts und des Gemeindebürgerrechts v</w:t>
      </w:r>
      <w:r w:rsidRPr="00FB5B86">
        <w:rPr>
          <w:rFonts w:cs="Arial"/>
        </w:rPr>
        <w:t xml:space="preserve">on Schweizerinnen und Schweizern sowie von Ausländerinnen und Ausländern in Ergänzung zur Bürgerrechtsgesetzgebung des Bundes. </w:t>
      </w:r>
    </w:p>
    <w:p w:rsidR="004B0F70" w:rsidRDefault="004B0F70" w:rsidP="000D653C">
      <w:pPr>
        <w:pStyle w:val="Listenabsatz"/>
        <w:tabs>
          <w:tab w:val="clear" w:pos="397"/>
          <w:tab w:val="clear" w:pos="794"/>
          <w:tab w:val="left" w:pos="709"/>
          <w:tab w:val="left" w:pos="851"/>
          <w:tab w:val="left" w:pos="993"/>
        </w:tabs>
        <w:autoSpaceDE w:val="0"/>
        <w:autoSpaceDN w:val="0"/>
        <w:adjustRightInd w:val="0"/>
        <w:spacing w:before="0"/>
        <w:ind w:left="0"/>
        <w:rPr>
          <w:rFonts w:cs="Arial"/>
        </w:rPr>
      </w:pPr>
    </w:p>
    <w:p w:rsidR="00153CDC" w:rsidRDefault="00153CDC" w:rsidP="000D653C">
      <w:pPr>
        <w:pStyle w:val="Listenabsatz"/>
        <w:tabs>
          <w:tab w:val="clear" w:pos="397"/>
          <w:tab w:val="clear" w:pos="794"/>
          <w:tab w:val="left" w:pos="709"/>
          <w:tab w:val="left" w:pos="851"/>
          <w:tab w:val="left" w:pos="993"/>
        </w:tabs>
        <w:autoSpaceDE w:val="0"/>
        <w:autoSpaceDN w:val="0"/>
        <w:adjustRightInd w:val="0"/>
        <w:spacing w:before="0"/>
        <w:ind w:left="0"/>
        <w:rPr>
          <w:rFonts w:cs="Arial"/>
        </w:rPr>
      </w:pPr>
    </w:p>
    <w:p w:rsidR="000D653C" w:rsidRDefault="000D653C" w:rsidP="00392AEF">
      <w:pPr>
        <w:tabs>
          <w:tab w:val="clear" w:pos="397"/>
          <w:tab w:val="clear" w:pos="794"/>
          <w:tab w:val="left" w:pos="709"/>
          <w:tab w:val="left" w:pos="851"/>
          <w:tab w:val="left" w:pos="993"/>
        </w:tabs>
        <w:autoSpaceDE w:val="0"/>
        <w:autoSpaceDN w:val="0"/>
        <w:adjustRightInd w:val="0"/>
        <w:spacing w:before="240" w:after="60"/>
        <w:rPr>
          <w:b/>
        </w:rPr>
      </w:pPr>
      <w:r>
        <w:rPr>
          <w:b/>
        </w:rPr>
        <w:lastRenderedPageBreak/>
        <w:t>2. Abschnitt: Einbürgerung von Schweizerinnen und Schweizern</w:t>
      </w:r>
    </w:p>
    <w:p w:rsidR="000D653C" w:rsidRDefault="000D653C" w:rsidP="000D653C">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before="60" w:line="240" w:lineRule="atLeast"/>
        <w:rPr>
          <w:b/>
        </w:rPr>
      </w:pPr>
      <w:r>
        <w:t>Die Einbürgerung von Schweizerinnen und Schweizern - d.h. der Wechsel oder zusätzliche Erwerb eines Gemeinde- oder Kantonsbürgerrechts - regelt ausschliesslich das kantonale Recht.</w:t>
      </w:r>
      <w:r w:rsidRPr="00587040">
        <w:rPr>
          <w:rFonts w:cs="Arial"/>
        </w:rPr>
        <w:t xml:space="preserve"> Der Erwerb des Gemeindebürgerrechts begründet keine Re</w:t>
      </w:r>
      <w:r>
        <w:rPr>
          <w:rFonts w:cs="Arial"/>
        </w:rPr>
        <w:t xml:space="preserve">chte oder Pflichten, sondern betont die besondere Verbundenheit zu einer Gemeinde und ist </w:t>
      </w:r>
      <w:r w:rsidRPr="00587040">
        <w:rPr>
          <w:rFonts w:cs="Arial"/>
        </w:rPr>
        <w:t>emotionaler Natur</w:t>
      </w:r>
      <w:r w:rsidR="009978F3" w:rsidRPr="009978F3">
        <w:rPr>
          <w:rFonts w:cs="Arial"/>
        </w:rPr>
        <w:t>.</w:t>
      </w:r>
      <w:r w:rsidR="00B83628">
        <w:rPr>
          <w:rFonts w:cs="Arial"/>
        </w:rPr>
        <w:t xml:space="preserve"> </w:t>
      </w:r>
      <w:r>
        <w:rPr>
          <w:rFonts w:cs="Arial"/>
        </w:rPr>
        <w:t>Not</w:t>
      </w:r>
      <w:r w:rsidR="00B83628">
        <w:rPr>
          <w:rFonts w:cs="Arial"/>
        </w:rPr>
        <w:t xml:space="preserve">wendig für die Einbürgerung ist </w:t>
      </w:r>
      <w:r>
        <w:rPr>
          <w:rFonts w:cs="Arial"/>
        </w:rPr>
        <w:t>der Nachweis</w:t>
      </w:r>
      <w:r w:rsidRPr="00587040">
        <w:rPr>
          <w:rFonts w:cs="Arial"/>
        </w:rPr>
        <w:t xml:space="preserve"> </w:t>
      </w:r>
      <w:r>
        <w:rPr>
          <w:rFonts w:cs="Arial"/>
        </w:rPr>
        <w:t>eines</w:t>
      </w:r>
      <w:r w:rsidRPr="00587040">
        <w:rPr>
          <w:rFonts w:cs="Arial"/>
        </w:rPr>
        <w:t xml:space="preserve"> </w:t>
      </w:r>
      <w:r>
        <w:rPr>
          <w:rFonts w:cs="Arial"/>
        </w:rPr>
        <w:t>zweijährigen Wohnsitzes</w:t>
      </w:r>
      <w:r w:rsidRPr="00587040">
        <w:rPr>
          <w:rFonts w:cs="Arial"/>
        </w:rPr>
        <w:t xml:space="preserve"> und </w:t>
      </w:r>
      <w:r>
        <w:rPr>
          <w:rFonts w:cs="Arial"/>
        </w:rPr>
        <w:t>eines einwandfreien strafrechtlichen Leumunds. Die Gemeinden können weitere Voraussetzungen vorsehen (§ 2 Abs. 2 E-</w:t>
      </w:r>
      <w:proofErr w:type="spellStart"/>
      <w:r>
        <w:rPr>
          <w:rFonts w:cs="Arial"/>
        </w:rPr>
        <w:t>KBüG</w:t>
      </w:r>
      <w:proofErr w:type="spellEnd"/>
      <w:r>
        <w:rPr>
          <w:rFonts w:cs="Arial"/>
        </w:rPr>
        <w:t xml:space="preserve">). </w:t>
      </w:r>
    </w:p>
    <w:p w:rsidR="000D653C" w:rsidRPr="000D653C" w:rsidRDefault="000D653C" w:rsidP="00392AEF">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before="240" w:after="60" w:line="240" w:lineRule="atLeast"/>
        <w:rPr>
          <w:rFonts w:cs="Arial"/>
        </w:rPr>
      </w:pPr>
      <w:r>
        <w:rPr>
          <w:b/>
        </w:rPr>
        <w:t xml:space="preserve">3. Abschnitt: </w:t>
      </w:r>
      <w:r w:rsidRPr="004B28A8">
        <w:rPr>
          <w:b/>
        </w:rPr>
        <w:t>Einbürgerung von Ausländerinnen und Ausländern</w:t>
      </w:r>
    </w:p>
    <w:p w:rsidR="000D653C" w:rsidRPr="004B28A8" w:rsidRDefault="000D653C" w:rsidP="00392AEF">
      <w:pPr>
        <w:tabs>
          <w:tab w:val="clear" w:pos="397"/>
          <w:tab w:val="clear" w:pos="794"/>
          <w:tab w:val="left" w:pos="709"/>
          <w:tab w:val="left" w:pos="851"/>
          <w:tab w:val="left" w:pos="993"/>
        </w:tabs>
        <w:autoSpaceDE w:val="0"/>
        <w:autoSpaceDN w:val="0"/>
        <w:adjustRightInd w:val="0"/>
        <w:spacing w:after="60"/>
        <w:rPr>
          <w:b/>
        </w:rPr>
      </w:pPr>
      <w:r>
        <w:rPr>
          <w:b/>
        </w:rPr>
        <w:t>A. Voraussetzungen</w:t>
      </w:r>
      <w:r w:rsidRPr="004B28A8">
        <w:rPr>
          <w:b/>
        </w:rPr>
        <w:t xml:space="preserve"> </w:t>
      </w:r>
    </w:p>
    <w:p w:rsidR="000D653C" w:rsidRPr="00490CDE" w:rsidRDefault="000D653C" w:rsidP="000D653C">
      <w:pPr>
        <w:pStyle w:val="Listenabsatz"/>
        <w:tabs>
          <w:tab w:val="clear" w:pos="397"/>
          <w:tab w:val="clear" w:pos="794"/>
          <w:tab w:val="left" w:pos="709"/>
          <w:tab w:val="left" w:pos="851"/>
          <w:tab w:val="left" w:pos="993"/>
        </w:tabs>
        <w:autoSpaceDE w:val="0"/>
        <w:autoSpaceDN w:val="0"/>
        <w:adjustRightInd w:val="0"/>
        <w:spacing w:after="120"/>
        <w:ind w:left="0"/>
        <w:rPr>
          <w:rFonts w:cs="Arial"/>
        </w:rPr>
      </w:pPr>
      <w:r>
        <w:rPr>
          <w:rFonts w:cs="Arial"/>
        </w:rPr>
        <w:t>§ 4 E-</w:t>
      </w:r>
      <w:proofErr w:type="spellStart"/>
      <w:r>
        <w:rPr>
          <w:rFonts w:cs="Arial"/>
        </w:rPr>
        <w:t>KBüG</w:t>
      </w:r>
      <w:proofErr w:type="spellEnd"/>
      <w:r>
        <w:rPr>
          <w:rFonts w:cs="Arial"/>
        </w:rPr>
        <w:t xml:space="preserve"> verankert den zentralen Grundsatz</w:t>
      </w:r>
      <w:r w:rsidRPr="00A4462D">
        <w:rPr>
          <w:rFonts w:cs="Arial"/>
        </w:rPr>
        <w:t xml:space="preserve">, dass für die Erteilung des Kantons- und Gemeindebürgerrechts die gleichen Voraussetzungen wie für die Erteilung der Einbürgerungsbewilligung des Bundes gelten. Dies entspricht dem geltenden kantonalen Recht (§ 4 </w:t>
      </w:r>
      <w:proofErr w:type="spellStart"/>
      <w:r w:rsidRPr="00A4462D">
        <w:rPr>
          <w:rFonts w:cs="Arial"/>
        </w:rPr>
        <w:t>KBüV</w:t>
      </w:r>
      <w:proofErr w:type="spellEnd"/>
      <w:r w:rsidRPr="00A4462D">
        <w:rPr>
          <w:rFonts w:cs="Arial"/>
        </w:rPr>
        <w:t>)</w:t>
      </w:r>
      <w:r>
        <w:rPr>
          <w:rFonts w:cs="Arial"/>
        </w:rPr>
        <w:t>.</w:t>
      </w:r>
      <w:r w:rsidR="00DA7A07">
        <w:rPr>
          <w:rFonts w:cs="Arial"/>
        </w:rPr>
        <w:t xml:space="preserve"> </w:t>
      </w:r>
      <w:r>
        <w:rPr>
          <w:rFonts w:cs="Arial"/>
        </w:rPr>
        <w:t>D</w:t>
      </w:r>
      <w:r>
        <w:t xml:space="preserve">as kantonale Recht regelt die Aufenthaltsdauer in der Gemeinde bzw. im Kanton und ergänzt die bundesrechtlichen Integrationskriterien in vier Bereichen: </w:t>
      </w:r>
    </w:p>
    <w:p w:rsidR="000D653C" w:rsidRDefault="000D653C" w:rsidP="00F0230D">
      <w:pPr>
        <w:pStyle w:val="Listenabsatz"/>
        <w:tabs>
          <w:tab w:val="clear" w:pos="397"/>
          <w:tab w:val="clear" w:pos="794"/>
          <w:tab w:val="left" w:pos="284"/>
          <w:tab w:val="left" w:pos="993"/>
        </w:tabs>
        <w:autoSpaceDE w:val="0"/>
        <w:autoSpaceDN w:val="0"/>
        <w:adjustRightInd w:val="0"/>
        <w:spacing w:before="60" w:line="280" w:lineRule="atLeast"/>
        <w:ind w:left="284" w:hanging="284"/>
      </w:pPr>
      <w:r>
        <w:t xml:space="preserve">- </w:t>
      </w:r>
      <w:r>
        <w:tab/>
        <w:t>Festlegung des massgebenden Zeitraums für die Erfüllung von Zahlungsverpflichtungen (§ 6 E-</w:t>
      </w:r>
      <w:proofErr w:type="spellStart"/>
      <w:r>
        <w:t>KBüG</w:t>
      </w:r>
      <w:proofErr w:type="spellEnd"/>
      <w:r>
        <w:t>),</w:t>
      </w:r>
    </w:p>
    <w:p w:rsidR="000D653C" w:rsidRDefault="000D653C" w:rsidP="00F0230D">
      <w:pPr>
        <w:pStyle w:val="Listenabsatz"/>
        <w:tabs>
          <w:tab w:val="clear" w:pos="397"/>
          <w:tab w:val="clear" w:pos="794"/>
          <w:tab w:val="left" w:pos="284"/>
          <w:tab w:val="left" w:pos="993"/>
        </w:tabs>
        <w:autoSpaceDE w:val="0"/>
        <w:autoSpaceDN w:val="0"/>
        <w:adjustRightInd w:val="0"/>
        <w:spacing w:before="60" w:line="280" w:lineRule="atLeast"/>
        <w:ind w:left="284" w:hanging="284"/>
      </w:pPr>
      <w:r>
        <w:t xml:space="preserve">- </w:t>
      </w:r>
      <w:r>
        <w:tab/>
        <w:t>Beachtung der Strafrechtsordnung durch Jugendliche, Wartefrist (§ 7 E-</w:t>
      </w:r>
      <w:proofErr w:type="spellStart"/>
      <w:r>
        <w:t>KBüG</w:t>
      </w:r>
      <w:proofErr w:type="spellEnd"/>
      <w:r>
        <w:t>),</w:t>
      </w:r>
    </w:p>
    <w:p w:rsidR="000D653C" w:rsidRDefault="000D653C" w:rsidP="00F0230D">
      <w:pPr>
        <w:pStyle w:val="Listenabsatz"/>
        <w:tabs>
          <w:tab w:val="clear" w:pos="397"/>
          <w:tab w:val="clear" w:pos="794"/>
          <w:tab w:val="left" w:pos="284"/>
          <w:tab w:val="left" w:pos="993"/>
        </w:tabs>
        <w:autoSpaceDE w:val="0"/>
        <w:autoSpaceDN w:val="0"/>
        <w:adjustRightInd w:val="0"/>
        <w:spacing w:before="60" w:line="280" w:lineRule="atLeast"/>
        <w:ind w:left="284" w:hanging="284"/>
      </w:pPr>
      <w:r>
        <w:t xml:space="preserve">- </w:t>
      </w:r>
      <w:r>
        <w:tab/>
        <w:t>Nachweis der Verständigung in deutscher Sprache (§ 8 E-</w:t>
      </w:r>
      <w:proofErr w:type="spellStart"/>
      <w:r>
        <w:t>KBüG</w:t>
      </w:r>
      <w:proofErr w:type="spellEnd"/>
      <w:r>
        <w:t xml:space="preserve">),  </w:t>
      </w:r>
    </w:p>
    <w:p w:rsidR="00B00704" w:rsidRDefault="000D653C" w:rsidP="002500D9">
      <w:pPr>
        <w:pStyle w:val="Listenabsatz"/>
        <w:tabs>
          <w:tab w:val="clear" w:pos="397"/>
          <w:tab w:val="clear" w:pos="794"/>
          <w:tab w:val="left" w:pos="284"/>
          <w:tab w:val="left" w:pos="993"/>
        </w:tabs>
        <w:autoSpaceDE w:val="0"/>
        <w:autoSpaceDN w:val="0"/>
        <w:adjustRightInd w:val="0"/>
        <w:spacing w:before="60" w:line="280" w:lineRule="atLeast"/>
        <w:ind w:left="284" w:hanging="284"/>
      </w:pPr>
      <w:r>
        <w:t xml:space="preserve">- </w:t>
      </w:r>
      <w:r>
        <w:tab/>
        <w:t>Nachweis von Grundkenntnissen</w:t>
      </w:r>
      <w:r w:rsidR="00C85AD1">
        <w:t xml:space="preserve"> der Verhältnisse im</w:t>
      </w:r>
      <w:r>
        <w:t xml:space="preserve"> Kanton und</w:t>
      </w:r>
      <w:r w:rsidR="00C85AD1">
        <w:t xml:space="preserve"> in den Zürcher Gemeinde, </w:t>
      </w:r>
      <w:r>
        <w:t>Bestehen eines kantonal anerkannten Grundkenntnistest</w:t>
      </w:r>
      <w:r w:rsidR="004A7974">
        <w:t>s</w:t>
      </w:r>
      <w:r>
        <w:t xml:space="preserve"> (§ 9 E-</w:t>
      </w:r>
      <w:proofErr w:type="spellStart"/>
      <w:r>
        <w:t>KBüG</w:t>
      </w:r>
      <w:proofErr w:type="spellEnd"/>
      <w:r>
        <w:t>).</w:t>
      </w:r>
    </w:p>
    <w:p w:rsidR="00C85AD1" w:rsidRPr="00CD5F7F" w:rsidRDefault="00C85AD1" w:rsidP="002500D9">
      <w:pPr>
        <w:pStyle w:val="00Vorgabetext"/>
        <w:spacing w:after="60"/>
        <w:rPr>
          <w:b/>
        </w:rPr>
      </w:pPr>
      <w:r w:rsidRPr="00CD5F7F">
        <w:rPr>
          <w:b/>
        </w:rPr>
        <w:t>B. Verfahren</w:t>
      </w:r>
    </w:p>
    <w:p w:rsidR="00C85AD1" w:rsidRPr="00CD5F7F" w:rsidRDefault="00C85AD1" w:rsidP="00C85AD1">
      <w:pPr>
        <w:pStyle w:val="00Vorgabetext"/>
      </w:pPr>
      <w:r w:rsidRPr="00CD5F7F">
        <w:t>Die Bestimmungen regeln den Eintrag im Zivilstandsregister, die Einreichung des Gesuchs, die Zuständigkeiten für die Erteilung des Gemeinde- und Kantonsbürgerrechts, die Prüfung der Einbürgerungsvoraussetzungen durch die Direktion und die Gemeinden sowie die Berücksichtigung der persönlichen Verhältnisse der Bewerberinnen und Bewerber.</w:t>
      </w:r>
    </w:p>
    <w:p w:rsidR="00C85AD1" w:rsidRPr="00CD5F7F" w:rsidRDefault="00C85AD1" w:rsidP="00C85AD1">
      <w:pPr>
        <w:pStyle w:val="00Vorgabetext"/>
        <w:spacing w:before="240" w:after="60"/>
        <w:rPr>
          <w:b/>
        </w:rPr>
      </w:pPr>
      <w:r w:rsidRPr="00CD5F7F">
        <w:rPr>
          <w:b/>
        </w:rPr>
        <w:t>4. Abschnitt: Entlassung aus dem Bürgerrecht</w:t>
      </w:r>
    </w:p>
    <w:p w:rsidR="00C85AD1" w:rsidRPr="00CD5F7F" w:rsidRDefault="00C85AD1" w:rsidP="00C85AD1">
      <w:pPr>
        <w:pStyle w:val="00Vorgabetext"/>
      </w:pPr>
      <w:r w:rsidRPr="00CD5F7F">
        <w:t>Dieser Abschnitt entspricht weitgehend dem geltenden Recht. Neu geregelt ist die Entlassung aus dem Kantonsbürgerrecht: Diese erfolgt nicht mehr wie heute durch e</w:t>
      </w:r>
      <w:r>
        <w:t>inen Entscheid der Direktion</w:t>
      </w:r>
      <w:r w:rsidRPr="00CD5F7F">
        <w:t>, sondern ist direkt an den Entscheid der Gemeinde gekoppelt.</w:t>
      </w:r>
    </w:p>
    <w:p w:rsidR="00C85AD1" w:rsidRPr="00CD5F7F" w:rsidRDefault="00C85AD1" w:rsidP="00C85AD1">
      <w:pPr>
        <w:pStyle w:val="00Vorgabetext"/>
        <w:spacing w:before="240" w:after="60"/>
        <w:rPr>
          <w:b/>
        </w:rPr>
      </w:pPr>
      <w:r w:rsidRPr="00CD5F7F">
        <w:rPr>
          <w:b/>
        </w:rPr>
        <w:t>5. Abschnitt: Gemeinsame Bestimmungen</w:t>
      </w:r>
    </w:p>
    <w:p w:rsidR="00C85AD1" w:rsidRPr="00CD5F7F" w:rsidRDefault="00C85AD1" w:rsidP="00C85AD1">
      <w:pPr>
        <w:pStyle w:val="00Vorgabetext"/>
      </w:pPr>
      <w:r w:rsidRPr="00CD5F7F">
        <w:t xml:space="preserve">Geregelt werden die Fachaufsicht über das Bürgerrechtswesen der Gemeinden, die Bearbeitung und Bekanntgabe von Personendaten sowie die Gebühren in Bürgerrechtsangelegenheiten. </w:t>
      </w:r>
    </w:p>
    <w:p w:rsidR="00C85AD1" w:rsidRPr="00CD5F7F" w:rsidRDefault="00C85AD1" w:rsidP="00C85AD1">
      <w:pPr>
        <w:pStyle w:val="00Vorgabetext"/>
        <w:spacing w:before="240" w:after="60"/>
        <w:rPr>
          <w:b/>
        </w:rPr>
      </w:pPr>
      <w:r w:rsidRPr="00CD5F7F">
        <w:rPr>
          <w:b/>
        </w:rPr>
        <w:t>6. Abschnitt: Übergangs- und Schlussbestimmungen</w:t>
      </w:r>
    </w:p>
    <w:p w:rsidR="00C85AD1" w:rsidRPr="00CD5F7F" w:rsidRDefault="00C85AD1" w:rsidP="00C85AD1">
      <w:pPr>
        <w:pStyle w:val="00Vorgabetext"/>
      </w:pPr>
      <w:r w:rsidRPr="00CD5F7F">
        <w:t xml:space="preserve">Hier ist der Grundsatz der Nichtrückwirkung des Gesetzes verankert. Geregelt ist zudem die Anpassung des </w:t>
      </w:r>
      <w:r>
        <w:t xml:space="preserve">kommunalen Rechts </w:t>
      </w:r>
      <w:r w:rsidRPr="00CD5F7F">
        <w:t>bei Gemeinden, die eine geteilte Einbürgerungszuständigkeit kennen.</w:t>
      </w:r>
    </w:p>
    <w:p w:rsidR="00B00704" w:rsidRDefault="00B00704" w:rsidP="00A32162">
      <w:pPr>
        <w:pStyle w:val="Listenabsatz"/>
        <w:tabs>
          <w:tab w:val="clear" w:pos="397"/>
          <w:tab w:val="clear" w:pos="794"/>
          <w:tab w:val="left" w:pos="284"/>
          <w:tab w:val="left" w:pos="993"/>
        </w:tabs>
        <w:autoSpaceDE w:val="0"/>
        <w:autoSpaceDN w:val="0"/>
        <w:adjustRightInd w:val="0"/>
        <w:spacing w:before="60" w:line="280" w:lineRule="atLeast"/>
        <w:ind w:left="284" w:hanging="284"/>
      </w:pPr>
    </w:p>
    <w:p w:rsidR="00CD5F7F" w:rsidRDefault="00165E94" w:rsidP="00CD5F7F">
      <w:pPr>
        <w:pStyle w:val="00Vorgabetext"/>
        <w:rPr>
          <w:b/>
        </w:rPr>
      </w:pPr>
      <w:r>
        <w:rPr>
          <w:b/>
        </w:rPr>
        <w:lastRenderedPageBreak/>
        <w:t>Zusammenspiel</w:t>
      </w:r>
      <w:r w:rsidR="000C17A9">
        <w:rPr>
          <w:b/>
        </w:rPr>
        <w:t xml:space="preserve"> der </w:t>
      </w:r>
      <w:r w:rsidR="00CD5F7F" w:rsidRPr="00CD5F7F">
        <w:rPr>
          <w:b/>
        </w:rPr>
        <w:t>Einbürgerungsvor</w:t>
      </w:r>
      <w:r>
        <w:rPr>
          <w:b/>
        </w:rPr>
        <w:t>aussetzungen von</w:t>
      </w:r>
      <w:r w:rsidR="000C17A9">
        <w:rPr>
          <w:b/>
        </w:rPr>
        <w:t xml:space="preserve"> Bund</w:t>
      </w:r>
      <w:r>
        <w:rPr>
          <w:b/>
        </w:rPr>
        <w:t xml:space="preserve"> und Kanton</w:t>
      </w:r>
    </w:p>
    <w:p w:rsidR="00CD5F7F" w:rsidRPr="00CD5F7F" w:rsidRDefault="00CD5F7F" w:rsidP="00CD5F7F">
      <w:pPr>
        <w:pStyle w:val="00Vorgabetext"/>
        <w:spacing w:before="0"/>
      </w:pPr>
    </w:p>
    <w:tbl>
      <w:tblPr>
        <w:tblStyle w:val="Tabellenraster1"/>
        <w:tblW w:w="0" w:type="auto"/>
        <w:tblLook w:val="04A0" w:firstRow="1" w:lastRow="0" w:firstColumn="1" w:lastColumn="0" w:noHBand="0" w:noVBand="1"/>
      </w:tblPr>
      <w:tblGrid>
        <w:gridCol w:w="2087"/>
        <w:gridCol w:w="3466"/>
        <w:gridCol w:w="3422"/>
      </w:tblGrid>
      <w:tr w:rsidR="00CD5F7F" w:rsidRPr="00CD5F7F" w:rsidTr="00CD5F7F">
        <w:tc>
          <w:tcPr>
            <w:tcW w:w="2087" w:type="dxa"/>
          </w:tcPr>
          <w:p w:rsidR="00CD5F7F" w:rsidRPr="00CD5F7F" w:rsidRDefault="00CD5F7F" w:rsidP="006A57D8">
            <w:pPr>
              <w:tabs>
                <w:tab w:val="clear" w:pos="397"/>
                <w:tab w:val="clear" w:pos="794"/>
                <w:tab w:val="left" w:pos="709"/>
                <w:tab w:val="left" w:pos="851"/>
                <w:tab w:val="left" w:pos="993"/>
              </w:tabs>
              <w:autoSpaceDE w:val="0"/>
              <w:autoSpaceDN w:val="0"/>
              <w:adjustRightInd w:val="0"/>
              <w:spacing w:before="0" w:after="120"/>
              <w:contextualSpacing/>
              <w:rPr>
                <w:b/>
              </w:rPr>
            </w:pPr>
            <w:r w:rsidRPr="00CD5F7F">
              <w:rPr>
                <w:b/>
              </w:rPr>
              <w:t>Voraussetzung</w:t>
            </w:r>
          </w:p>
        </w:tc>
        <w:tc>
          <w:tcPr>
            <w:tcW w:w="3466" w:type="dxa"/>
          </w:tcPr>
          <w:p w:rsidR="006A57D8" w:rsidRPr="00CD5F7F" w:rsidRDefault="006A57D8" w:rsidP="006A57D8">
            <w:pPr>
              <w:tabs>
                <w:tab w:val="clear" w:pos="397"/>
                <w:tab w:val="clear" w:pos="794"/>
                <w:tab w:val="left" w:pos="709"/>
                <w:tab w:val="left" w:pos="851"/>
                <w:tab w:val="left" w:pos="993"/>
              </w:tabs>
              <w:autoSpaceDE w:val="0"/>
              <w:autoSpaceDN w:val="0"/>
              <w:adjustRightInd w:val="0"/>
              <w:spacing w:after="60"/>
              <w:contextualSpacing/>
              <w:rPr>
                <w:b/>
              </w:rPr>
            </w:pPr>
            <w:r w:rsidRPr="00CD5F7F">
              <w:rPr>
                <w:b/>
              </w:rPr>
              <w:t>Bundesrecht</w:t>
            </w:r>
          </w:p>
          <w:p w:rsidR="006A57D8" w:rsidRPr="00CD5F7F" w:rsidRDefault="006A57D8" w:rsidP="006A57D8">
            <w:pPr>
              <w:tabs>
                <w:tab w:val="clear" w:pos="397"/>
                <w:tab w:val="clear" w:pos="794"/>
                <w:tab w:val="left" w:pos="709"/>
                <w:tab w:val="left" w:pos="851"/>
                <w:tab w:val="left" w:pos="993"/>
              </w:tabs>
              <w:autoSpaceDE w:val="0"/>
              <w:autoSpaceDN w:val="0"/>
              <w:adjustRightInd w:val="0"/>
              <w:spacing w:after="60"/>
              <w:contextualSpacing/>
            </w:pPr>
            <w:proofErr w:type="spellStart"/>
            <w:r w:rsidRPr="00CD5F7F">
              <w:t>BüG</w:t>
            </w:r>
            <w:proofErr w:type="spellEnd"/>
            <w:r w:rsidRPr="00CD5F7F">
              <w:t xml:space="preserve">, </w:t>
            </w:r>
            <w:proofErr w:type="spellStart"/>
            <w:r w:rsidRPr="00CD5F7F">
              <w:t>BüV</w:t>
            </w:r>
            <w:proofErr w:type="spellEnd"/>
            <w:r w:rsidR="00C85AD1">
              <w:t xml:space="preserve"> (in Kraft)</w:t>
            </w:r>
            <w:r>
              <w:rPr>
                <w:b/>
              </w:rPr>
              <w:t xml:space="preserve">                                                     </w:t>
            </w:r>
          </w:p>
          <w:p w:rsidR="00CD5F7F" w:rsidRPr="00CD5F7F" w:rsidRDefault="00CD5F7F" w:rsidP="006A57D8">
            <w:pPr>
              <w:tabs>
                <w:tab w:val="clear" w:pos="397"/>
                <w:tab w:val="clear" w:pos="794"/>
                <w:tab w:val="left" w:pos="709"/>
                <w:tab w:val="left" w:pos="851"/>
                <w:tab w:val="left" w:pos="993"/>
              </w:tabs>
              <w:autoSpaceDE w:val="0"/>
              <w:autoSpaceDN w:val="0"/>
              <w:adjustRightInd w:val="0"/>
              <w:spacing w:after="60"/>
              <w:contextualSpacing/>
            </w:pPr>
          </w:p>
        </w:tc>
        <w:tc>
          <w:tcPr>
            <w:tcW w:w="3422" w:type="dxa"/>
          </w:tcPr>
          <w:p w:rsidR="00CD5F7F" w:rsidRPr="00CD5F7F" w:rsidRDefault="00CD5F7F" w:rsidP="006A57D8">
            <w:pPr>
              <w:tabs>
                <w:tab w:val="clear" w:pos="397"/>
                <w:tab w:val="clear" w:pos="794"/>
                <w:tab w:val="left" w:pos="709"/>
                <w:tab w:val="left" w:pos="851"/>
                <w:tab w:val="left" w:pos="993"/>
              </w:tabs>
              <w:autoSpaceDE w:val="0"/>
              <w:autoSpaceDN w:val="0"/>
              <w:adjustRightInd w:val="0"/>
              <w:spacing w:after="60"/>
              <w:contextualSpacing/>
            </w:pPr>
            <w:r w:rsidRPr="00CD5F7F">
              <w:rPr>
                <w:b/>
              </w:rPr>
              <w:t>Ergänzendes kantonales Recht</w:t>
            </w:r>
            <w:r w:rsidRPr="00CD5F7F">
              <w:rPr>
                <w:b/>
              </w:rPr>
              <w:br/>
            </w:r>
            <w:r w:rsidR="00907DBE">
              <w:t>E-</w:t>
            </w:r>
            <w:proofErr w:type="spellStart"/>
            <w:r w:rsidR="00907DBE">
              <w:t>KBüG</w:t>
            </w:r>
            <w:proofErr w:type="spellEnd"/>
            <w:r w:rsidR="00907DBE">
              <w:t xml:space="preserve"> (</w:t>
            </w:r>
            <w:proofErr w:type="spellStart"/>
            <w:r w:rsidRPr="00CD5F7F">
              <w:t>Vernehmlassungsentwurf</w:t>
            </w:r>
            <w:proofErr w:type="spellEnd"/>
            <w:r w:rsidR="00907DBE">
              <w:t>)</w:t>
            </w:r>
            <w:r w:rsidRPr="00CD5F7F">
              <w:br/>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Aufenthalt</w:t>
            </w:r>
          </w:p>
        </w:tc>
        <w:tc>
          <w:tcPr>
            <w:tcW w:w="3466" w:type="dxa"/>
          </w:tcPr>
          <w:p w:rsidR="006F3FA4" w:rsidRPr="006F3FA4" w:rsidRDefault="006F3FA4" w:rsidP="001C1235">
            <w:pPr>
              <w:pStyle w:val="Listenabsatz"/>
              <w:numPr>
                <w:ilvl w:val="0"/>
                <w:numId w:val="49"/>
              </w:numPr>
              <w:tabs>
                <w:tab w:val="clear" w:pos="397"/>
                <w:tab w:val="clear" w:pos="794"/>
                <w:tab w:val="left" w:pos="208"/>
                <w:tab w:val="left" w:pos="993"/>
              </w:tabs>
              <w:autoSpaceDE w:val="0"/>
              <w:autoSpaceDN w:val="0"/>
              <w:adjustRightInd w:val="0"/>
              <w:spacing w:before="0" w:after="60"/>
              <w:ind w:left="204" w:hanging="215"/>
              <w:rPr>
                <w:sz w:val="18"/>
                <w:szCs w:val="18"/>
              </w:rPr>
            </w:pPr>
            <w:r w:rsidRPr="006F3FA4">
              <w:rPr>
                <w:sz w:val="18"/>
                <w:szCs w:val="18"/>
              </w:rPr>
              <w:t>Niederlassungsbewilligung C</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10 Jahre in der Schweiz</w:t>
            </w:r>
            <w:r w:rsidR="00361E88">
              <w:rPr>
                <w:sz w:val="18"/>
                <w:szCs w:val="18"/>
              </w:rPr>
              <w:t>, wovon 3 in den letzten 5 Jahren vor Einreichung des Gesuchs</w:t>
            </w:r>
          </w:p>
        </w:tc>
        <w:tc>
          <w:tcPr>
            <w:tcW w:w="3422" w:type="dxa"/>
          </w:tcPr>
          <w:p w:rsidR="00361E88" w:rsidRPr="001C1235" w:rsidRDefault="00CD5F7F" w:rsidP="001C1235">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1C1235">
              <w:rPr>
                <w:sz w:val="18"/>
                <w:szCs w:val="18"/>
              </w:rPr>
              <w:t>2 Jahre Aufenthalt in der Gemeinde</w:t>
            </w:r>
          </w:p>
          <w:p w:rsidR="00CD5F7F" w:rsidRPr="001C1235" w:rsidRDefault="00361E88" w:rsidP="001C1235">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1C1235">
              <w:rPr>
                <w:sz w:val="18"/>
                <w:szCs w:val="18"/>
              </w:rPr>
              <w:t>Bis zum 25. Altersjahr:</w:t>
            </w:r>
            <w:r w:rsidRPr="001C1235">
              <w:rPr>
                <w:sz w:val="18"/>
                <w:szCs w:val="18"/>
              </w:rPr>
              <w:br/>
            </w:r>
            <w:r w:rsidR="00CD5F7F" w:rsidRPr="001C1235">
              <w:rPr>
                <w:sz w:val="18"/>
                <w:szCs w:val="18"/>
              </w:rPr>
              <w:t>2 Jahre Aufenthalt im Kanton</w:t>
            </w:r>
            <w:r w:rsidR="00E9630F" w:rsidRPr="001C1235">
              <w:rPr>
                <w:sz w:val="18"/>
                <w:szCs w:val="18"/>
              </w:rPr>
              <w:br/>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 xml:space="preserve">Beachten der öffentlichen Sicherheit und Ordnung </w:t>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Erhebliche oder wiederholte Missachtung von gesetzlichen Vorschriften und behördlichen Verfügungen</w:t>
            </w:r>
            <w:r w:rsidRPr="00CD5F7F">
              <w:rPr>
                <w:sz w:val="18"/>
                <w:szCs w:val="18"/>
              </w:rPr>
              <w:br/>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Beachten der öffentlichen Sicherheit und Ordnung</w:t>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Mutwillige Nichterfüllung von wichtigen öffentlich-rechtlichen oder privatrechtlichen Verpflichtungen</w:t>
            </w:r>
            <w:r w:rsidR="00E9630F">
              <w:rPr>
                <w:sz w:val="18"/>
                <w:szCs w:val="18"/>
              </w:rPr>
              <w:br/>
            </w:r>
          </w:p>
        </w:tc>
        <w:tc>
          <w:tcPr>
            <w:tcW w:w="3422" w:type="dxa"/>
          </w:tcPr>
          <w:p w:rsidR="00CD5F7F" w:rsidRPr="00CD5F7F" w:rsidRDefault="00CD5F7F" w:rsidP="00361E88">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Nichterfüllung von Zahlungsverpflichtu</w:t>
            </w:r>
            <w:r w:rsidR="00253B9F">
              <w:rPr>
                <w:sz w:val="18"/>
                <w:szCs w:val="18"/>
              </w:rPr>
              <w:t>ngen</w:t>
            </w:r>
            <w:r w:rsidR="00253B9F">
              <w:rPr>
                <w:sz w:val="18"/>
                <w:szCs w:val="18"/>
              </w:rPr>
              <w:br/>
              <w:t xml:space="preserve">Massgebender </w:t>
            </w:r>
            <w:r w:rsidRPr="00CD5F7F">
              <w:rPr>
                <w:sz w:val="18"/>
                <w:szCs w:val="18"/>
              </w:rPr>
              <w:t>Zeitraum</w:t>
            </w:r>
            <w:r w:rsidR="00253B9F">
              <w:rPr>
                <w:sz w:val="18"/>
                <w:szCs w:val="18"/>
              </w:rPr>
              <w:t xml:space="preserve">: </w:t>
            </w:r>
            <w:r w:rsidR="00361E88">
              <w:rPr>
                <w:sz w:val="18"/>
                <w:szCs w:val="18"/>
              </w:rPr>
              <w:t>5</w:t>
            </w:r>
            <w:r w:rsidRPr="00CD5F7F">
              <w:rPr>
                <w:sz w:val="18"/>
                <w:szCs w:val="18"/>
              </w:rPr>
              <w:t xml:space="preserve"> Jahre </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Beachten der öffentlichen Sicherheit und Ordnung</w:t>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Öffentliche Billigung oder Werben für ein Verbrechen oder Vergehen gegen den öffentlichen Frieden, Völkermord, Verbrechen gegen die Menschlichkeit</w:t>
            </w:r>
            <w:r w:rsidRPr="00CD5F7F">
              <w:rPr>
                <w:sz w:val="18"/>
                <w:szCs w:val="18"/>
              </w:rPr>
              <w:br/>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 xml:space="preserve">Beachten der öffentlichen Sicherheit und Ordnung </w:t>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 xml:space="preserve">Einträge im Strafregister des Bundes (VOSTRA), die gemäss </w:t>
            </w:r>
            <w:proofErr w:type="spellStart"/>
            <w:r w:rsidRPr="00CD5F7F">
              <w:rPr>
                <w:sz w:val="18"/>
                <w:szCs w:val="18"/>
              </w:rPr>
              <w:t>BüV</w:t>
            </w:r>
            <w:proofErr w:type="spellEnd"/>
            <w:r w:rsidRPr="00CD5F7F">
              <w:rPr>
                <w:sz w:val="18"/>
                <w:szCs w:val="18"/>
              </w:rPr>
              <w:t xml:space="preserve"> ein </w:t>
            </w:r>
            <w:r w:rsidRPr="00CD5F7F">
              <w:rPr>
                <w:sz w:val="18"/>
                <w:szCs w:val="18"/>
              </w:rPr>
              <w:br/>
              <w:t xml:space="preserve">Einbürgerungshindernis darstellen </w:t>
            </w:r>
          </w:p>
        </w:tc>
        <w:tc>
          <w:tcPr>
            <w:tcW w:w="3422" w:type="dxa"/>
          </w:tcPr>
          <w:p w:rsidR="00CD5F7F" w:rsidRPr="00CD5F7F" w:rsidRDefault="00CD5F7F" w:rsidP="00361E88">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Straffällige Jugendliche:</w:t>
            </w:r>
            <w:r w:rsidRPr="00CD5F7F">
              <w:rPr>
                <w:sz w:val="18"/>
                <w:szCs w:val="18"/>
              </w:rPr>
              <w:br/>
              <w:t xml:space="preserve">Wartefrist von </w:t>
            </w:r>
            <w:r w:rsidR="00361E88">
              <w:rPr>
                <w:sz w:val="18"/>
                <w:szCs w:val="18"/>
              </w:rPr>
              <w:t>2</w:t>
            </w:r>
            <w:r w:rsidRPr="00CD5F7F">
              <w:rPr>
                <w:sz w:val="18"/>
                <w:szCs w:val="18"/>
              </w:rPr>
              <w:t xml:space="preserve"> Jahren nach Verurteilung zu einer Strafe oder Massnahme, die nicht im Strafregister eingetragen sind</w:t>
            </w:r>
            <w:r w:rsidR="00E9630F">
              <w:rPr>
                <w:sz w:val="18"/>
                <w:szCs w:val="18"/>
              </w:rPr>
              <w:br/>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Respektierung der Werte der Verfassung</w:t>
            </w:r>
          </w:p>
        </w:tc>
        <w:tc>
          <w:tcPr>
            <w:tcW w:w="3466" w:type="dxa"/>
          </w:tcPr>
          <w:p w:rsidR="00361E88" w:rsidRDefault="00CD5F7F" w:rsidP="006F3FA4">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Rechtsstaatliche Prinzipien</w:t>
            </w:r>
          </w:p>
          <w:p w:rsidR="00361E88" w:rsidRDefault="00CD5F7F" w:rsidP="006F3FA4">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Grundrechte</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Staatsbürgerliche Pflichten</w:t>
            </w:r>
            <w:r w:rsidR="00361E88">
              <w:rPr>
                <w:sz w:val="18"/>
                <w:szCs w:val="18"/>
              </w:rPr>
              <w:br/>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Sprachnachweis</w:t>
            </w:r>
          </w:p>
        </w:tc>
        <w:tc>
          <w:tcPr>
            <w:tcW w:w="3466" w:type="dxa"/>
          </w:tcPr>
          <w:p w:rsidR="00361E88" w:rsidRDefault="00CD5F7F" w:rsidP="001C1235">
            <w:pPr>
              <w:pStyle w:val="Listenabsatz"/>
              <w:numPr>
                <w:ilvl w:val="0"/>
                <w:numId w:val="49"/>
              </w:numPr>
              <w:tabs>
                <w:tab w:val="clear" w:pos="397"/>
                <w:tab w:val="clear" w:pos="794"/>
                <w:tab w:val="left" w:pos="208"/>
                <w:tab w:val="left" w:pos="993"/>
              </w:tabs>
              <w:autoSpaceDE w:val="0"/>
              <w:autoSpaceDN w:val="0"/>
              <w:adjustRightInd w:val="0"/>
              <w:spacing w:before="0" w:after="60"/>
              <w:ind w:left="204" w:hanging="215"/>
              <w:rPr>
                <w:sz w:val="18"/>
                <w:szCs w:val="18"/>
              </w:rPr>
            </w:pPr>
            <w:r w:rsidRPr="00CD5F7F">
              <w:rPr>
                <w:sz w:val="18"/>
                <w:szCs w:val="18"/>
              </w:rPr>
              <w:t xml:space="preserve">Verständigung in der </w:t>
            </w:r>
            <w:r w:rsidRPr="00CD5F7F">
              <w:rPr>
                <w:sz w:val="18"/>
                <w:szCs w:val="18"/>
                <w:u w:val="single"/>
              </w:rPr>
              <w:t>Landessprache</w:t>
            </w:r>
            <w:r w:rsidRPr="00CD5F7F">
              <w:rPr>
                <w:sz w:val="18"/>
                <w:szCs w:val="18"/>
              </w:rPr>
              <w:t xml:space="preserve"> </w:t>
            </w:r>
          </w:p>
          <w:p w:rsidR="00361E88" w:rsidRDefault="00CD5F7F" w:rsidP="006F3FA4">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 xml:space="preserve">Referenzniveaus: </w:t>
            </w:r>
            <w:r w:rsidR="00361E88">
              <w:rPr>
                <w:sz w:val="18"/>
                <w:szCs w:val="18"/>
              </w:rPr>
              <w:br/>
            </w:r>
            <w:r w:rsidRPr="00CD5F7F">
              <w:rPr>
                <w:sz w:val="18"/>
                <w:szCs w:val="18"/>
              </w:rPr>
              <w:t>B1 Mündlich,</w:t>
            </w:r>
            <w:r w:rsidR="006A57D8">
              <w:rPr>
                <w:sz w:val="18"/>
                <w:szCs w:val="18"/>
              </w:rPr>
              <w:t xml:space="preserve"> </w:t>
            </w:r>
            <w:r w:rsidR="00F7715C">
              <w:rPr>
                <w:sz w:val="18"/>
                <w:szCs w:val="18"/>
              </w:rPr>
              <w:t>A2 Schriftlich</w:t>
            </w:r>
          </w:p>
          <w:p w:rsidR="00CD5F7F" w:rsidRPr="00CD5F7F" w:rsidRDefault="00361E88" w:rsidP="006F3FA4">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Pr>
                <w:sz w:val="18"/>
                <w:szCs w:val="18"/>
              </w:rPr>
              <w:t>S</w:t>
            </w:r>
            <w:r w:rsidR="00CD5F7F" w:rsidRPr="00CD5F7F">
              <w:rPr>
                <w:sz w:val="18"/>
                <w:szCs w:val="18"/>
              </w:rPr>
              <w:t>prachtest,</w:t>
            </w:r>
            <w:r w:rsidR="00F7715C">
              <w:rPr>
                <w:sz w:val="18"/>
                <w:szCs w:val="18"/>
              </w:rPr>
              <w:t xml:space="preserve"> </w:t>
            </w:r>
            <w:r w:rsidR="00CD5F7F" w:rsidRPr="00CD5F7F">
              <w:rPr>
                <w:sz w:val="18"/>
                <w:szCs w:val="18"/>
              </w:rPr>
              <w:t>Befreiungsgründe</w:t>
            </w:r>
            <w:r w:rsidR="00CD5F7F" w:rsidRPr="00CD5F7F">
              <w:rPr>
                <w:sz w:val="18"/>
                <w:szCs w:val="18"/>
              </w:rPr>
              <w:br/>
            </w:r>
          </w:p>
        </w:tc>
        <w:tc>
          <w:tcPr>
            <w:tcW w:w="3422" w:type="dxa"/>
          </w:tcPr>
          <w:p w:rsidR="006542FD" w:rsidRDefault="00CD5F7F" w:rsidP="001C1235">
            <w:pPr>
              <w:tabs>
                <w:tab w:val="clear" w:pos="397"/>
                <w:tab w:val="clear" w:pos="794"/>
                <w:tab w:val="left" w:pos="709"/>
                <w:tab w:val="left" w:pos="851"/>
                <w:tab w:val="left" w:pos="993"/>
              </w:tabs>
              <w:autoSpaceDE w:val="0"/>
              <w:autoSpaceDN w:val="0"/>
              <w:adjustRightInd w:val="0"/>
              <w:spacing w:before="0" w:after="120"/>
              <w:ind w:left="142" w:hanging="142"/>
              <w:contextualSpacing/>
              <w:rPr>
                <w:sz w:val="18"/>
                <w:szCs w:val="18"/>
              </w:rPr>
            </w:pPr>
            <w:r w:rsidRPr="00CD5F7F">
              <w:rPr>
                <w:sz w:val="18"/>
                <w:szCs w:val="18"/>
              </w:rPr>
              <w:t xml:space="preserve">Verständigung in </w:t>
            </w:r>
            <w:r w:rsidRPr="00CD5F7F">
              <w:rPr>
                <w:sz w:val="18"/>
                <w:szCs w:val="18"/>
                <w:u w:val="single"/>
              </w:rPr>
              <w:t>deutscher Sprache</w:t>
            </w:r>
          </w:p>
          <w:p w:rsidR="00CD5F7F" w:rsidRPr="00CD5F7F" w:rsidRDefault="00CD5F7F" w:rsidP="00DA7A07">
            <w:pPr>
              <w:tabs>
                <w:tab w:val="clear" w:pos="397"/>
                <w:tab w:val="clear" w:pos="794"/>
                <w:tab w:val="left" w:pos="709"/>
                <w:tab w:val="left" w:pos="851"/>
                <w:tab w:val="left" w:pos="993"/>
              </w:tabs>
              <w:autoSpaceDE w:val="0"/>
              <w:autoSpaceDN w:val="0"/>
              <w:adjustRightInd w:val="0"/>
              <w:spacing w:after="120"/>
              <w:ind w:left="144" w:hanging="144"/>
              <w:contextualSpacing/>
              <w:rPr>
                <w:sz w:val="18"/>
                <w:szCs w:val="18"/>
              </w:rPr>
            </w:pPr>
            <w:r w:rsidRPr="00CD5F7F">
              <w:rPr>
                <w:sz w:val="18"/>
                <w:szCs w:val="18"/>
              </w:rPr>
              <w:br/>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 xml:space="preserve">Teilnahme am </w:t>
            </w:r>
            <w:r w:rsidRPr="00CD5F7F">
              <w:rPr>
                <w:b/>
                <w:sz w:val="18"/>
                <w:szCs w:val="18"/>
              </w:rPr>
              <w:br/>
              <w:t xml:space="preserve">Wirtschaftsleben </w:t>
            </w:r>
          </w:p>
        </w:tc>
        <w:tc>
          <w:tcPr>
            <w:tcW w:w="3466" w:type="dxa"/>
          </w:tcPr>
          <w:p w:rsidR="00CD5F7F" w:rsidRPr="00CD5F7F" w:rsidRDefault="00CD5F7F" w:rsidP="001C1235">
            <w:pPr>
              <w:pStyle w:val="Listenabsatz"/>
              <w:numPr>
                <w:ilvl w:val="0"/>
                <w:numId w:val="49"/>
              </w:numPr>
              <w:tabs>
                <w:tab w:val="clear" w:pos="397"/>
                <w:tab w:val="clear" w:pos="794"/>
                <w:tab w:val="left" w:pos="208"/>
                <w:tab w:val="left" w:pos="993"/>
              </w:tabs>
              <w:autoSpaceDE w:val="0"/>
              <w:autoSpaceDN w:val="0"/>
              <w:adjustRightInd w:val="0"/>
              <w:spacing w:before="0" w:after="60"/>
              <w:ind w:left="204" w:hanging="215"/>
              <w:rPr>
                <w:sz w:val="18"/>
                <w:szCs w:val="18"/>
              </w:rPr>
            </w:pPr>
            <w:r w:rsidRPr="00CD5F7F">
              <w:rPr>
                <w:sz w:val="18"/>
                <w:szCs w:val="18"/>
              </w:rPr>
              <w:t>E</w:t>
            </w:r>
            <w:r w:rsidR="00361E88">
              <w:rPr>
                <w:sz w:val="18"/>
                <w:szCs w:val="18"/>
              </w:rPr>
              <w:t xml:space="preserve">inkommen, Vermögen, Leistungen </w:t>
            </w:r>
            <w:r w:rsidRPr="00CD5F7F">
              <w:rPr>
                <w:sz w:val="18"/>
                <w:szCs w:val="18"/>
              </w:rPr>
              <w:t>Dritter (z.B. Sozialversicherungen)</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Keine Sozialhilfe in letzten 3 Jahren</w:t>
            </w:r>
            <w:r w:rsidRPr="00CD5F7F">
              <w:rPr>
                <w:sz w:val="18"/>
                <w:szCs w:val="18"/>
              </w:rPr>
              <w:br/>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 xml:space="preserve">Teilnahme am </w:t>
            </w:r>
            <w:r w:rsidRPr="00CD5F7F">
              <w:rPr>
                <w:b/>
                <w:sz w:val="18"/>
                <w:szCs w:val="18"/>
              </w:rPr>
              <w:br/>
              <w:t>Erwerb von Bildung</w:t>
            </w:r>
            <w:r w:rsidR="00F7715C">
              <w:rPr>
                <w:b/>
                <w:sz w:val="18"/>
                <w:szCs w:val="18"/>
              </w:rPr>
              <w:br/>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Aus- und Weiterbildung</w:t>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r w:rsidRPr="00CD5F7F">
              <w:rPr>
                <w:b/>
                <w:sz w:val="18"/>
                <w:szCs w:val="18"/>
              </w:rPr>
              <w:t xml:space="preserve">Förderung der </w:t>
            </w:r>
            <w:r w:rsidRPr="00CD5F7F">
              <w:rPr>
                <w:b/>
                <w:sz w:val="18"/>
                <w:szCs w:val="18"/>
              </w:rPr>
              <w:br/>
              <w:t xml:space="preserve">Integration von Familienmitgliedern </w:t>
            </w:r>
            <w:r w:rsidRPr="00CD5F7F">
              <w:rPr>
                <w:b/>
                <w:sz w:val="18"/>
                <w:szCs w:val="18"/>
              </w:rPr>
              <w:br/>
            </w:r>
          </w:p>
        </w:tc>
        <w:tc>
          <w:tcPr>
            <w:tcW w:w="3466"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Unterst</w:t>
            </w:r>
            <w:r w:rsidR="00F53D73">
              <w:rPr>
                <w:sz w:val="18"/>
                <w:szCs w:val="18"/>
              </w:rPr>
              <w:t>ützung von Partnern und Kindern</w:t>
            </w:r>
            <w:r w:rsidRPr="00CD5F7F">
              <w:rPr>
                <w:sz w:val="18"/>
                <w:szCs w:val="18"/>
              </w:rPr>
              <w:t xml:space="preserve"> bei Aktivitäten, die zur Integration beitragen</w:t>
            </w:r>
          </w:p>
        </w:tc>
        <w:tc>
          <w:tcPr>
            <w:tcW w:w="3422"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sz w:val="18"/>
                <w:szCs w:val="18"/>
              </w:rPr>
            </w:pPr>
            <w:r w:rsidRPr="00CD5F7F">
              <w:rPr>
                <w:sz w:val="18"/>
                <w:szCs w:val="18"/>
              </w:rPr>
              <w:t>-</w:t>
            </w:r>
          </w:p>
        </w:tc>
      </w:tr>
      <w:tr w:rsidR="00CD5F7F" w:rsidRPr="00CD5F7F" w:rsidTr="00CD5F7F">
        <w:tc>
          <w:tcPr>
            <w:tcW w:w="2087" w:type="dxa"/>
          </w:tcPr>
          <w:p w:rsidR="00CD5F7F" w:rsidRPr="00CD5F7F" w:rsidRDefault="00CD5F7F" w:rsidP="00CD5F7F">
            <w:pPr>
              <w:tabs>
                <w:tab w:val="clear" w:pos="397"/>
                <w:tab w:val="clear" w:pos="794"/>
                <w:tab w:val="left" w:pos="709"/>
                <w:tab w:val="left" w:pos="851"/>
                <w:tab w:val="left" w:pos="993"/>
              </w:tabs>
              <w:autoSpaceDE w:val="0"/>
              <w:autoSpaceDN w:val="0"/>
              <w:adjustRightInd w:val="0"/>
              <w:spacing w:before="60" w:after="60"/>
              <w:contextualSpacing/>
              <w:rPr>
                <w:b/>
                <w:sz w:val="18"/>
                <w:szCs w:val="18"/>
              </w:rPr>
            </w:pPr>
            <w:proofErr w:type="spellStart"/>
            <w:r w:rsidRPr="00CD5F7F">
              <w:rPr>
                <w:b/>
                <w:sz w:val="18"/>
                <w:szCs w:val="18"/>
              </w:rPr>
              <w:t>Vertrautsein</w:t>
            </w:r>
            <w:proofErr w:type="spellEnd"/>
            <w:r w:rsidRPr="00CD5F7F">
              <w:rPr>
                <w:b/>
                <w:sz w:val="18"/>
                <w:szCs w:val="18"/>
              </w:rPr>
              <w:t xml:space="preserve"> mit den Lebensverhältnissen</w:t>
            </w:r>
            <w:r w:rsidRPr="00CD5F7F">
              <w:rPr>
                <w:b/>
                <w:sz w:val="18"/>
                <w:szCs w:val="18"/>
              </w:rPr>
              <w:br/>
            </w:r>
          </w:p>
        </w:tc>
        <w:tc>
          <w:tcPr>
            <w:tcW w:w="3466" w:type="dxa"/>
          </w:tcPr>
          <w:p w:rsidR="00CD5F7F" w:rsidRPr="00CD5F7F" w:rsidRDefault="00CD5F7F" w:rsidP="001C1235">
            <w:pPr>
              <w:pStyle w:val="Listenabsatz"/>
              <w:numPr>
                <w:ilvl w:val="0"/>
                <w:numId w:val="49"/>
              </w:numPr>
              <w:tabs>
                <w:tab w:val="clear" w:pos="397"/>
                <w:tab w:val="clear" w:pos="794"/>
                <w:tab w:val="left" w:pos="208"/>
                <w:tab w:val="left" w:pos="993"/>
              </w:tabs>
              <w:autoSpaceDE w:val="0"/>
              <w:autoSpaceDN w:val="0"/>
              <w:adjustRightInd w:val="0"/>
              <w:spacing w:before="0" w:after="60"/>
              <w:ind w:left="204" w:hanging="215"/>
              <w:rPr>
                <w:sz w:val="18"/>
                <w:szCs w:val="18"/>
              </w:rPr>
            </w:pPr>
            <w:r w:rsidRPr="00CD5F7F">
              <w:rPr>
                <w:sz w:val="18"/>
                <w:szCs w:val="18"/>
              </w:rPr>
              <w:t xml:space="preserve">Grundkenntnisse </w:t>
            </w:r>
            <w:r w:rsidRPr="00CD5F7F">
              <w:rPr>
                <w:sz w:val="18"/>
                <w:szCs w:val="18"/>
                <w:u w:val="single"/>
              </w:rPr>
              <w:t>Schweiz</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 xml:space="preserve">Teilnahme am sozialen und </w:t>
            </w:r>
            <w:r w:rsidR="00F53D73">
              <w:rPr>
                <w:sz w:val="18"/>
                <w:szCs w:val="18"/>
              </w:rPr>
              <w:br/>
            </w:r>
            <w:r w:rsidRPr="00CD5F7F">
              <w:rPr>
                <w:sz w:val="18"/>
                <w:szCs w:val="18"/>
              </w:rPr>
              <w:t>kulturellen Leben</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 xml:space="preserve">Kontakte zu </w:t>
            </w:r>
            <w:r w:rsidR="00361E88">
              <w:rPr>
                <w:sz w:val="18"/>
                <w:szCs w:val="18"/>
              </w:rPr>
              <w:t>Schweizerinnen und S</w:t>
            </w:r>
            <w:r w:rsidRPr="00CD5F7F">
              <w:rPr>
                <w:sz w:val="18"/>
                <w:szCs w:val="18"/>
              </w:rPr>
              <w:t xml:space="preserve">chweizern </w:t>
            </w:r>
            <w:r w:rsidR="00E9630F">
              <w:rPr>
                <w:sz w:val="18"/>
                <w:szCs w:val="18"/>
              </w:rPr>
              <w:br/>
            </w:r>
          </w:p>
        </w:tc>
        <w:tc>
          <w:tcPr>
            <w:tcW w:w="3422" w:type="dxa"/>
          </w:tcPr>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u w:val="single"/>
              </w:rPr>
            </w:pPr>
            <w:r w:rsidRPr="00CD5F7F">
              <w:rPr>
                <w:sz w:val="18"/>
                <w:szCs w:val="18"/>
              </w:rPr>
              <w:t xml:space="preserve">Grundkenntnisse </w:t>
            </w:r>
            <w:r w:rsidR="00253B9F">
              <w:rPr>
                <w:sz w:val="18"/>
                <w:szCs w:val="18"/>
                <w:u w:val="single"/>
              </w:rPr>
              <w:t xml:space="preserve">Kanton und </w:t>
            </w:r>
            <w:r w:rsidR="00F53D73">
              <w:rPr>
                <w:sz w:val="18"/>
                <w:szCs w:val="18"/>
                <w:u w:val="single"/>
              </w:rPr>
              <w:br/>
            </w:r>
            <w:r w:rsidR="00253B9F">
              <w:rPr>
                <w:sz w:val="18"/>
                <w:szCs w:val="18"/>
                <w:u w:val="single"/>
              </w:rPr>
              <w:t>Zürcher</w:t>
            </w:r>
            <w:r w:rsidRPr="00CD5F7F">
              <w:rPr>
                <w:sz w:val="18"/>
                <w:szCs w:val="18"/>
                <w:u w:val="single"/>
              </w:rPr>
              <w:t xml:space="preserve"> Gemeinde</w:t>
            </w:r>
            <w:r w:rsidR="00253B9F">
              <w:rPr>
                <w:sz w:val="18"/>
                <w:szCs w:val="18"/>
                <w:u w:val="single"/>
              </w:rPr>
              <w:t>n</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 xml:space="preserve">Bestehen </w:t>
            </w:r>
            <w:r w:rsidR="00DA7A07">
              <w:rPr>
                <w:sz w:val="18"/>
                <w:szCs w:val="18"/>
              </w:rPr>
              <w:t xml:space="preserve">eines </w:t>
            </w:r>
            <w:r w:rsidRPr="00CD5F7F">
              <w:rPr>
                <w:sz w:val="18"/>
                <w:szCs w:val="18"/>
              </w:rPr>
              <w:t>kanton</w:t>
            </w:r>
            <w:r w:rsidR="00F7715C">
              <w:rPr>
                <w:sz w:val="18"/>
                <w:szCs w:val="18"/>
              </w:rPr>
              <w:t>al</w:t>
            </w:r>
            <w:r w:rsidR="00DA7A07">
              <w:rPr>
                <w:sz w:val="18"/>
                <w:szCs w:val="18"/>
              </w:rPr>
              <w:t xml:space="preserve"> </w:t>
            </w:r>
            <w:r w:rsidR="00F53D73">
              <w:rPr>
                <w:sz w:val="18"/>
                <w:szCs w:val="18"/>
              </w:rPr>
              <w:br/>
            </w:r>
            <w:r w:rsidR="00DA7A07">
              <w:rPr>
                <w:sz w:val="18"/>
                <w:szCs w:val="18"/>
              </w:rPr>
              <w:t>anerkannten</w:t>
            </w:r>
            <w:r w:rsidR="00361E88">
              <w:rPr>
                <w:sz w:val="18"/>
                <w:szCs w:val="18"/>
              </w:rPr>
              <w:t xml:space="preserve"> </w:t>
            </w:r>
            <w:r w:rsidRPr="00CD5F7F">
              <w:rPr>
                <w:sz w:val="18"/>
                <w:szCs w:val="18"/>
              </w:rPr>
              <w:t>Grundkenntnistest</w:t>
            </w:r>
            <w:r w:rsidR="00DA7A07">
              <w:rPr>
                <w:sz w:val="18"/>
                <w:szCs w:val="18"/>
              </w:rPr>
              <w:t>s</w:t>
            </w:r>
            <w:r w:rsidRPr="00CD5F7F">
              <w:rPr>
                <w:sz w:val="18"/>
                <w:szCs w:val="18"/>
              </w:rPr>
              <w:t xml:space="preserve"> </w:t>
            </w:r>
          </w:p>
          <w:p w:rsidR="00CD5F7F" w:rsidRPr="00CD5F7F" w:rsidRDefault="00CD5F7F" w:rsidP="00361E88">
            <w:pPr>
              <w:pStyle w:val="Listenabsatz"/>
              <w:numPr>
                <w:ilvl w:val="0"/>
                <w:numId w:val="49"/>
              </w:numPr>
              <w:tabs>
                <w:tab w:val="clear" w:pos="397"/>
                <w:tab w:val="clear" w:pos="794"/>
                <w:tab w:val="left" w:pos="208"/>
                <w:tab w:val="left" w:pos="993"/>
              </w:tabs>
              <w:autoSpaceDE w:val="0"/>
              <w:autoSpaceDN w:val="0"/>
              <w:adjustRightInd w:val="0"/>
              <w:spacing w:before="60" w:after="60"/>
              <w:ind w:left="208" w:hanging="218"/>
              <w:rPr>
                <w:sz w:val="18"/>
                <w:szCs w:val="18"/>
              </w:rPr>
            </w:pPr>
            <w:r w:rsidRPr="00CD5F7F">
              <w:rPr>
                <w:sz w:val="18"/>
                <w:szCs w:val="18"/>
              </w:rPr>
              <w:t>Befreiungsgründe</w:t>
            </w:r>
          </w:p>
        </w:tc>
      </w:tr>
    </w:tbl>
    <w:p w:rsidR="000D653C" w:rsidRDefault="0055101F" w:rsidP="00102381">
      <w:pPr>
        <w:pStyle w:val="35Titel2"/>
      </w:pPr>
      <w:bookmarkStart w:id="12" w:name="_Toc6405562"/>
      <w:r>
        <w:lastRenderedPageBreak/>
        <w:t>Wichtige Regelungsbereiche</w:t>
      </w:r>
      <w:bookmarkEnd w:id="12"/>
    </w:p>
    <w:p w:rsidR="0055101F" w:rsidRDefault="00A82494" w:rsidP="00DA6321">
      <w:pPr>
        <w:pStyle w:val="36Titel3"/>
      </w:pPr>
      <w:bookmarkStart w:id="13" w:name="_Toc6405563"/>
      <w:r>
        <w:t>Einbürgerung als Rechtsanwendung</w:t>
      </w:r>
      <w:bookmarkEnd w:id="13"/>
    </w:p>
    <w:p w:rsidR="0055101F" w:rsidRPr="00CD451F" w:rsidRDefault="0055101F" w:rsidP="0055101F">
      <w:pPr>
        <w:pStyle w:val="Listenabsatz"/>
        <w:tabs>
          <w:tab w:val="clear" w:pos="397"/>
          <w:tab w:val="clear" w:pos="794"/>
          <w:tab w:val="left" w:pos="709"/>
          <w:tab w:val="left" w:pos="851"/>
          <w:tab w:val="left" w:pos="993"/>
        </w:tabs>
        <w:autoSpaceDE w:val="0"/>
        <w:autoSpaceDN w:val="0"/>
        <w:adjustRightInd w:val="0"/>
        <w:spacing w:before="0"/>
        <w:ind w:left="0"/>
      </w:pPr>
      <w:r>
        <w:rPr>
          <w:lang w:val="de-DE"/>
        </w:rPr>
        <w:t>Das Bundesgericht hat sich</w:t>
      </w:r>
      <w:r w:rsidR="00AB1D8F">
        <w:rPr>
          <w:lang w:val="de-DE"/>
        </w:rPr>
        <w:t xml:space="preserve"> in zwei Leitent</w:t>
      </w:r>
      <w:r w:rsidR="00767A2C">
        <w:rPr>
          <w:lang w:val="de-DE"/>
        </w:rPr>
        <w:t>scheiden vom Juli 2003</w:t>
      </w:r>
      <w:r w:rsidR="00767A2C">
        <w:rPr>
          <w:rStyle w:val="Funotenzeichen"/>
          <w:lang w:val="de-DE"/>
        </w:rPr>
        <w:footnoteReference w:id="18"/>
      </w:r>
      <w:r>
        <w:rPr>
          <w:lang w:val="de-DE"/>
        </w:rPr>
        <w:t xml:space="preserve"> zur</w:t>
      </w:r>
      <w:r>
        <w:t xml:space="preserve"> rechtlichen Qualifizierung des kommunalen Einb</w:t>
      </w:r>
      <w:r w:rsidR="00E9630F">
        <w:t xml:space="preserve">ürgerungsentscheids geäussert. Die Argumentation </w:t>
      </w:r>
      <w:r>
        <w:t>lautet</w:t>
      </w:r>
      <w:r w:rsidR="00E9630F">
        <w:t xml:space="preserve"> wie folgt</w:t>
      </w:r>
      <w:r>
        <w:t>: Im Einbürgerungsverfahren wird über den rechtlichen Status von Einzelpersonen entschieden. Dabei wird abgeklärt, ob die gesuchstellende Person in die schweizerischen Verhältnisse eingegli</w:t>
      </w:r>
      <w:r w:rsidR="00A82494">
        <w:t xml:space="preserve">edert ist, d.h. es erfolgt eine </w:t>
      </w:r>
      <w:r>
        <w:t>einzelfallbezogene Prüfung. Das Verfahren endet mit der Erteilung des Bürgerrechts oder der Abweisung des Gesuchs. Das Bundesgericht</w:t>
      </w:r>
      <w:r w:rsidR="00474FF9">
        <w:t xml:space="preserve"> und die Lehre vertreten den</w:t>
      </w:r>
      <w:r>
        <w:t xml:space="preserve"> Standpunkt, dass es sich hierbei um einen </w:t>
      </w:r>
      <w:r w:rsidRPr="00AD2F08">
        <w:rPr>
          <w:b/>
        </w:rPr>
        <w:t>Rechtsanwendungsakt</w:t>
      </w:r>
      <w:r>
        <w:t xml:space="preserve"> handelt, der in Anwendung der Bürgerrechtsgesetzgebung Rechte und Pflichten begründet und somit als Verfügung (individuell-konkreter Entscheid) zu qualifizieren ist</w:t>
      </w:r>
      <w:r w:rsidR="00AB1D8F">
        <w:rPr>
          <w:rStyle w:val="Funotenzeichen"/>
        </w:rPr>
        <w:footnoteReference w:id="19"/>
      </w:r>
      <w:r>
        <w:t xml:space="preserve">. Es geht bei der Einbürgerung also nicht um die Durchsetzung des politischen Willens wie bei einer Sachabstimmung oder Wahl (politische Akte), sondern um </w:t>
      </w:r>
      <w:r w:rsidRPr="00474FF9">
        <w:t>die Beantwortung der Rechtsfrage</w:t>
      </w:r>
      <w:r>
        <w:t xml:space="preserve">, ob die gesuchstellende Person für die Aufnahme in den Verband der Bürgerinnen und Bürger geeignet ist.   </w:t>
      </w:r>
    </w:p>
    <w:p w:rsidR="0055101F" w:rsidRPr="00A82494" w:rsidRDefault="00474FF9" w:rsidP="0055101F">
      <w:pPr>
        <w:pStyle w:val="00Vorgabetext"/>
      </w:pPr>
      <w:r>
        <w:t>Gestützt</w:t>
      </w:r>
      <w:r w:rsidR="00DA7A07">
        <w:t xml:space="preserve"> auf</w:t>
      </w:r>
      <w:r>
        <w:t xml:space="preserve"> diese Überlegungen</w:t>
      </w:r>
      <w:r w:rsidR="0055101F">
        <w:t xml:space="preserve"> steht </w:t>
      </w:r>
      <w:r w:rsidR="0055101F" w:rsidRPr="00D832E2">
        <w:t>allen Einbürgerungswilligen ein Anspruch auf Einbürgerung zu unter der Bedingung, dass sie die Einbür</w:t>
      </w:r>
      <w:r w:rsidR="0055101F">
        <w:t>gerungsvoraussetzungen erfüllen. Dieser Grundsatz ist in § 4 E-</w:t>
      </w:r>
      <w:proofErr w:type="spellStart"/>
      <w:r w:rsidR="0055101F">
        <w:t>KBüG</w:t>
      </w:r>
      <w:proofErr w:type="spellEnd"/>
      <w:r w:rsidR="0055101F">
        <w:t xml:space="preserve"> verankert. </w:t>
      </w:r>
      <w:r w:rsidR="0055101F" w:rsidRPr="00451B09">
        <w:t>Ein solcher Rechtsan</w:t>
      </w:r>
      <w:r w:rsidR="0055101F">
        <w:t>s</w:t>
      </w:r>
      <w:r w:rsidR="0055101F" w:rsidRPr="00451B09">
        <w:t>pruch ergibt sich auch indirekt aus dem verfassungsmässigen Anspruch auf rechtsgleiche und willkürfreie Rechtsanwendung, wenn eine Person die vom Bund und Kanton aufgestellten Einbürgerungsvoraussetzungen erfüllt</w:t>
      </w:r>
      <w:r w:rsidR="0055101F" w:rsidRPr="00451B09">
        <w:rPr>
          <w:rStyle w:val="Funotenzeichen"/>
        </w:rPr>
        <w:footnoteReference w:id="20"/>
      </w:r>
      <w:r w:rsidR="0055101F">
        <w:rPr>
          <w:i/>
          <w:sz w:val="18"/>
          <w:szCs w:val="18"/>
        </w:rPr>
        <w:t>.</w:t>
      </w:r>
      <w:r w:rsidR="00793DA3">
        <w:rPr>
          <w:i/>
          <w:sz w:val="18"/>
          <w:szCs w:val="18"/>
        </w:rPr>
        <w:t xml:space="preserve"> </w:t>
      </w:r>
      <w:r w:rsidR="00793DA3" w:rsidRPr="00793DA3">
        <w:t>I</w:t>
      </w:r>
      <w:r w:rsidR="000C685F">
        <w:t>n diesem Fall verbleibt kein</w:t>
      </w:r>
      <w:r w:rsidR="00793DA3">
        <w:t xml:space="preserve"> Ermessen für eine </w:t>
      </w:r>
      <w:r w:rsidR="00F7205A">
        <w:t>Verweigerung</w:t>
      </w:r>
      <w:r w:rsidR="00793DA3">
        <w:t xml:space="preserve"> der Einbürgerung.</w:t>
      </w:r>
      <w:r w:rsidR="00793DA3">
        <w:rPr>
          <w:i/>
          <w:sz w:val="18"/>
          <w:szCs w:val="18"/>
        </w:rPr>
        <w:t xml:space="preserve"> </w:t>
      </w:r>
      <w:r w:rsidR="0055101F">
        <w:t>Dieser</w:t>
      </w:r>
      <w:r w:rsidR="0055101F" w:rsidRPr="008A7A35">
        <w:t xml:space="preserve"> </w:t>
      </w:r>
      <w:r w:rsidR="0055101F" w:rsidRPr="00AD2F08">
        <w:rPr>
          <w:b/>
        </w:rPr>
        <w:t>bedingte Anspruch auf Einbürgerung</w:t>
      </w:r>
      <w:r w:rsidR="0055101F" w:rsidRPr="008A7A35">
        <w:t xml:space="preserve"> darf</w:t>
      </w:r>
      <w:r w:rsidR="0055101F">
        <w:t xml:space="preserve"> allerdings</w:t>
      </w:r>
      <w:r w:rsidR="0055101F" w:rsidRPr="008A7A35">
        <w:t xml:space="preserve"> nicht mit einem Recht auf automatische Einbürgerung gleichge</w:t>
      </w:r>
      <w:r w:rsidR="00934D98">
        <w:t>setzt werden</w:t>
      </w:r>
      <w:r w:rsidR="00934D98" w:rsidRPr="00A82494">
        <w:t xml:space="preserve">. </w:t>
      </w:r>
      <w:r w:rsidR="0055101F" w:rsidRPr="00A82494">
        <w:t>Einbürge</w:t>
      </w:r>
      <w:r w:rsidR="00934D98" w:rsidRPr="00A82494">
        <w:t>rungsgesuche sind selbstverständlich abzuweisen, wenn die V</w:t>
      </w:r>
      <w:r w:rsidR="0055101F" w:rsidRPr="00A82494">
        <w:t>oraussetzungen nicht erfüllt sind.</w:t>
      </w:r>
    </w:p>
    <w:p w:rsidR="005D0DCE" w:rsidRDefault="0055101F" w:rsidP="0055101F">
      <w:pPr>
        <w:pStyle w:val="00Vorgabetext"/>
      </w:pPr>
      <w:r w:rsidRPr="00A82494">
        <w:t>Der</w:t>
      </w:r>
      <w:r w:rsidR="00976301" w:rsidRPr="00A82494">
        <w:t xml:space="preserve"> </w:t>
      </w:r>
      <w:r w:rsidR="00370164" w:rsidRPr="00A82494">
        <w:t xml:space="preserve">bedingte </w:t>
      </w:r>
      <w:r w:rsidR="00976301" w:rsidRPr="00A82494">
        <w:t xml:space="preserve">Rechtsanspruch auf Erteilung des Gemeindebürgerrechts hat im </w:t>
      </w:r>
      <w:r w:rsidRPr="00A82494">
        <w:t>Kanton Zürich</w:t>
      </w:r>
      <w:r w:rsidR="00976301" w:rsidRPr="00A82494">
        <w:t xml:space="preserve"> eine </w:t>
      </w:r>
      <w:r w:rsidR="00976301" w:rsidRPr="00A82494">
        <w:rPr>
          <w:b/>
        </w:rPr>
        <w:t>lange Tradition</w:t>
      </w:r>
      <w:r w:rsidR="00FA7192" w:rsidRPr="00A82494">
        <w:rPr>
          <w:rStyle w:val="Funotenzeichen"/>
        </w:rPr>
        <w:footnoteReference w:id="21"/>
      </w:r>
      <w:r w:rsidR="00A22DD8" w:rsidRPr="00A82494">
        <w:t xml:space="preserve">. </w:t>
      </w:r>
      <w:r w:rsidR="00985E97" w:rsidRPr="00A82494">
        <w:t>A</w:t>
      </w:r>
      <w:r w:rsidR="007002E1" w:rsidRPr="00A82494">
        <w:t>m 27. Juni 1875</w:t>
      </w:r>
      <w:r w:rsidR="00985E97" w:rsidRPr="00A82494">
        <w:t xml:space="preserve"> </w:t>
      </w:r>
      <w:r w:rsidR="00370164" w:rsidRPr="00A82494">
        <w:t>haben</w:t>
      </w:r>
      <w:r w:rsidR="00437C2E" w:rsidRPr="00A82494">
        <w:t xml:space="preserve"> die Zürcher Stimmberechtigten</w:t>
      </w:r>
      <w:r w:rsidR="00985E97" w:rsidRPr="00A82494">
        <w:t xml:space="preserve"> den </w:t>
      </w:r>
      <w:r w:rsidR="00437C2E" w:rsidRPr="00A82494">
        <w:t>Ausländern</w:t>
      </w:r>
      <w:r w:rsidR="00985E97" w:rsidRPr="00A82494">
        <w:t xml:space="preserve">, die in der </w:t>
      </w:r>
      <w:r w:rsidR="00437C2E" w:rsidRPr="00A82494">
        <w:t>Schweizer geboren</w:t>
      </w:r>
      <w:r w:rsidR="00985E97" w:rsidRPr="00A82494">
        <w:t xml:space="preserve"> sind, </w:t>
      </w:r>
      <w:r w:rsidR="003678BB" w:rsidRPr="00A82494">
        <w:t xml:space="preserve">ein </w:t>
      </w:r>
      <w:r w:rsidR="00437C2E" w:rsidRPr="00A82494">
        <w:t>Recht</w:t>
      </w:r>
      <w:r w:rsidR="003678BB" w:rsidRPr="00A82494">
        <w:t xml:space="preserve"> auf Erteilung</w:t>
      </w:r>
      <w:r w:rsidR="007002E1" w:rsidRPr="00A82494">
        <w:t xml:space="preserve"> des Gemeindebürgerrechts eingeräumt, wenn sie bestimmte </w:t>
      </w:r>
      <w:r w:rsidR="00E33319" w:rsidRPr="00A82494">
        <w:t>Bedingungen</w:t>
      </w:r>
      <w:r w:rsidR="000C685F" w:rsidRPr="00A82494">
        <w:t xml:space="preserve"> erfüll</w:t>
      </w:r>
      <w:r w:rsidR="007002E1" w:rsidRPr="00A82494">
        <w:t>en</w:t>
      </w:r>
      <w:r w:rsidR="007002E1" w:rsidRPr="00A82494">
        <w:rPr>
          <w:rStyle w:val="Funotenzeichen"/>
        </w:rPr>
        <w:footnoteReference w:id="22"/>
      </w:r>
      <w:r w:rsidR="007002E1" w:rsidRPr="00A82494">
        <w:t xml:space="preserve">. </w:t>
      </w:r>
      <w:r w:rsidR="005F1FFB" w:rsidRPr="00A82494">
        <w:t>Am 8. Juni 1997</w:t>
      </w:r>
      <w:r w:rsidR="00FA7192" w:rsidRPr="00A82494">
        <w:t xml:space="preserve"> haben die</w:t>
      </w:r>
      <w:r w:rsidR="005F1FFB" w:rsidRPr="00A82494">
        <w:t xml:space="preserve"> Zürcher</w:t>
      </w:r>
      <w:r w:rsidR="00FA7192" w:rsidRPr="00A82494">
        <w:t xml:space="preserve"> </w:t>
      </w:r>
      <w:r w:rsidR="002D1F7F" w:rsidRPr="00A82494">
        <w:t>Stimmberechtigten</w:t>
      </w:r>
      <w:r w:rsidR="00A22DD8" w:rsidRPr="00A82494">
        <w:t xml:space="preserve"> </w:t>
      </w:r>
      <w:r w:rsidR="00BD5502">
        <w:t xml:space="preserve">weiteren </w:t>
      </w:r>
      <w:r w:rsidRPr="00A82494">
        <w:t>Ausländerinnen und Au</w:t>
      </w:r>
      <w:r w:rsidR="00862A13" w:rsidRPr="00A82494">
        <w:t xml:space="preserve">sländern ein Recht auf Erteilung </w:t>
      </w:r>
      <w:r w:rsidRPr="00A82494">
        <w:t>des Gemeindebürgerrechts</w:t>
      </w:r>
      <w:r w:rsidR="00862A13" w:rsidRPr="00A82494">
        <w:rPr>
          <w:rStyle w:val="Funotenzeichen"/>
        </w:rPr>
        <w:footnoteReference w:id="23"/>
      </w:r>
      <w:r w:rsidRPr="00A82494">
        <w:t xml:space="preserve"> eingeräumt</w:t>
      </w:r>
      <w:r w:rsidR="00E9630F" w:rsidRPr="00A82494">
        <w:t>. Diese R</w:t>
      </w:r>
      <w:r w:rsidR="00862A13" w:rsidRPr="00A82494">
        <w:t xml:space="preserve">egelung </w:t>
      </w:r>
      <w:r w:rsidR="00CD613E">
        <w:t xml:space="preserve">wurde geschaffen, um </w:t>
      </w:r>
      <w:r w:rsidR="00E9630F" w:rsidRPr="00A82494">
        <w:t>die Einbü</w:t>
      </w:r>
      <w:r w:rsidR="00E9630F">
        <w:t xml:space="preserve">rgerung </w:t>
      </w:r>
      <w:r w:rsidR="00274067">
        <w:t xml:space="preserve">von jungen </w:t>
      </w:r>
      <w:r w:rsidR="002608A6">
        <w:t>Ausländerinnen</w:t>
      </w:r>
      <w:r w:rsidR="00274067">
        <w:t xml:space="preserve"> und Ausländern zu erleichtern</w:t>
      </w:r>
      <w:r w:rsidR="002608A6" w:rsidRPr="002608A6">
        <w:rPr>
          <w:vertAlign w:val="superscript"/>
        </w:rPr>
        <w:footnoteReference w:id="24"/>
      </w:r>
      <w:r w:rsidR="00274067">
        <w:t xml:space="preserve">. </w:t>
      </w:r>
      <w:r w:rsidR="00862A13">
        <w:t>Der Anspruch auf Einbürgerung steht</w:t>
      </w:r>
      <w:r>
        <w:t xml:space="preserve"> </w:t>
      </w:r>
      <w:r w:rsidR="002804CC">
        <w:t xml:space="preserve">gemäss § 21 Abs. </w:t>
      </w:r>
      <w:r w:rsidR="00862A13">
        <w:t xml:space="preserve">3 </w:t>
      </w:r>
      <w:proofErr w:type="spellStart"/>
      <w:r w:rsidR="00862A13">
        <w:t>KBüG</w:t>
      </w:r>
      <w:proofErr w:type="spellEnd"/>
      <w:r w:rsidR="00862A13">
        <w:t xml:space="preserve"> </w:t>
      </w:r>
      <w:r w:rsidR="002804CC">
        <w:t xml:space="preserve">auch </w:t>
      </w:r>
      <w:r>
        <w:t>Ausländerinnen und Aus</w:t>
      </w:r>
      <w:r w:rsidR="002804CC">
        <w:t xml:space="preserve">ländern zu, </w:t>
      </w:r>
      <w:r w:rsidR="002804CC">
        <w:lastRenderedPageBreak/>
        <w:t xml:space="preserve">die </w:t>
      </w:r>
      <w:r>
        <w:t>nicht in der Schweiz geboren sind, jedoch zwischen 16 und 25 Jahre alt sind und während mindestens fünf Jahren die Volks- oder Mittelschulstufe in einer Landessprache besucht haben.</w:t>
      </w:r>
    </w:p>
    <w:p w:rsidR="00291EAF" w:rsidRDefault="0071346C" w:rsidP="00291EAF">
      <w:pPr>
        <w:pStyle w:val="00Vorgabetext"/>
        <w:spacing w:line="240" w:lineRule="atLeast"/>
      </w:pPr>
      <w:r>
        <w:t xml:space="preserve">Die </w:t>
      </w:r>
      <w:r w:rsidRPr="005D0DCE">
        <w:t>Unterscheidung</w:t>
      </w:r>
      <w:r w:rsidR="00BA7563">
        <w:t xml:space="preserve"> zwischen </w:t>
      </w:r>
      <w:r w:rsidR="00BA7563" w:rsidRPr="002E7F8A">
        <w:rPr>
          <w:b/>
        </w:rPr>
        <w:t>Personen mit und solchen ohne Anspruch auf eine Einbürgerung</w:t>
      </w:r>
      <w:r w:rsidRPr="005D0DCE">
        <w:t xml:space="preserve"> </w:t>
      </w:r>
      <w:r w:rsidR="005D0DCE" w:rsidRPr="005D0DCE">
        <w:t>hat</w:t>
      </w:r>
      <w:r>
        <w:rPr>
          <w:b/>
        </w:rPr>
        <w:t xml:space="preserve"> </w:t>
      </w:r>
      <w:r w:rsidR="005D0DCE">
        <w:t xml:space="preserve">insbesondere Auswirkungen auf die Festlegung des zuständigen </w:t>
      </w:r>
      <w:r w:rsidR="00FA71D9">
        <w:t>Einbürger</w:t>
      </w:r>
      <w:r w:rsidR="005D0DCE" w:rsidRPr="002E7F8A">
        <w:t>ungsorgans</w:t>
      </w:r>
      <w:r w:rsidR="0055101F" w:rsidRPr="002E7F8A">
        <w:t>.</w:t>
      </w:r>
      <w:r w:rsidR="00FA71D9">
        <w:t xml:space="preserve"> </w:t>
      </w:r>
      <w:r w:rsidR="0055101F" w:rsidRPr="002E7F8A">
        <w:t xml:space="preserve">Gesuche von Personen mit Anspruch werden in allen Zürcher </w:t>
      </w:r>
      <w:r w:rsidR="0055101F" w:rsidRPr="0026700A">
        <w:t>Gemeinden seit langem von Exekutivbehörden entschieden.</w:t>
      </w:r>
      <w:r w:rsidR="0055101F">
        <w:t xml:space="preserve"> </w:t>
      </w:r>
      <w:r w:rsidR="0055101F" w:rsidRPr="00DC71A7">
        <w:t>Die Zuständigkeit zur Erteilung des Gemeindebürgerrechts an Personen o</w:t>
      </w:r>
      <w:r w:rsidR="0055101F">
        <w:t xml:space="preserve">hne Anspruch </w:t>
      </w:r>
      <w:r w:rsidR="0055101F" w:rsidRPr="00DC71A7">
        <w:t>liegt heute</w:t>
      </w:r>
      <w:r w:rsidR="0055101F">
        <w:t xml:space="preserve"> ebenfalls</w:t>
      </w:r>
      <w:r w:rsidR="0055101F" w:rsidRPr="00DC71A7">
        <w:t xml:space="preserve"> zum </w:t>
      </w:r>
      <w:r w:rsidR="0055101F">
        <w:t xml:space="preserve">weit </w:t>
      </w:r>
      <w:r w:rsidR="0055101F" w:rsidRPr="00DC71A7">
        <w:t>überwiegenden Teil</w:t>
      </w:r>
      <w:r w:rsidR="0055101F">
        <w:t xml:space="preserve"> (77</w:t>
      </w:r>
      <w:r w:rsidR="0060034F">
        <w:t>% aller Gemeinden)</w:t>
      </w:r>
      <w:r w:rsidR="0055101F">
        <w:t xml:space="preserve"> </w:t>
      </w:r>
      <w:r w:rsidR="0055101F" w:rsidRPr="00DC71A7">
        <w:t xml:space="preserve">bei den </w:t>
      </w:r>
      <w:r w:rsidR="0055101F">
        <w:t>Exekutivbehörden.</w:t>
      </w:r>
      <w:r w:rsidR="006E4F60">
        <w:t xml:space="preserve"> Am 1. Januar</w:t>
      </w:r>
      <w:r w:rsidR="00BA7563">
        <w:t xml:space="preserve"> 2019 sind es</w:t>
      </w:r>
      <w:r w:rsidR="005D0DCE">
        <w:t xml:space="preserve"> noch 34 Gemeinden</w:t>
      </w:r>
      <w:r w:rsidR="00A86108">
        <w:rPr>
          <w:rStyle w:val="Funotenzeichen"/>
        </w:rPr>
        <w:footnoteReference w:id="25"/>
      </w:r>
      <w:r w:rsidR="005D0DCE">
        <w:t>, die an der Gemeindeversammlung einbürgern.</w:t>
      </w:r>
      <w:r w:rsidR="00FA71D9">
        <w:t xml:space="preserve"> </w:t>
      </w:r>
      <w:r w:rsidR="006E4F60" w:rsidRPr="00E8037A">
        <w:t>In drei Städten entscheiden die Gemeindeparlamente über die Einbürgerung von nichtanspruchsberechtigten Personen</w:t>
      </w:r>
      <w:r w:rsidR="00650A74">
        <w:rPr>
          <w:rStyle w:val="Funotenzeichen"/>
        </w:rPr>
        <w:footnoteReference w:id="26"/>
      </w:r>
      <w:r w:rsidR="006E4F60" w:rsidRPr="00E8037A">
        <w:t xml:space="preserve">. </w:t>
      </w:r>
      <w:r w:rsidR="00EE2E57">
        <w:t>Zu</w:t>
      </w:r>
      <w:r w:rsidR="00210FDD">
        <w:t xml:space="preserve">sammenfassend ist festzuhalten, dass im Kanton Zürich mehr als </w:t>
      </w:r>
      <w:r w:rsidR="00EE2E57">
        <w:t>90%</w:t>
      </w:r>
      <w:r w:rsidR="00210FDD">
        <w:t xml:space="preserve"> aller Einbürgerungsgesuche</w:t>
      </w:r>
      <w:r w:rsidR="00EE2E57">
        <w:t xml:space="preserve"> vom Exeku</w:t>
      </w:r>
      <w:r w:rsidR="00210FDD">
        <w:t>t</w:t>
      </w:r>
      <w:r w:rsidR="00EE2E57">
        <w:t xml:space="preserve">ivbehörden </w:t>
      </w:r>
      <w:r w:rsidR="00210FDD">
        <w:t>entschieden</w:t>
      </w:r>
      <w:r w:rsidR="00EE2E57">
        <w:t xml:space="preserve"> werden.</w:t>
      </w:r>
    </w:p>
    <w:p w:rsidR="0055101F" w:rsidRPr="0055101F" w:rsidRDefault="0055101F" w:rsidP="00291EAF">
      <w:pPr>
        <w:pStyle w:val="00Vorgabetext"/>
        <w:spacing w:before="240" w:after="120" w:line="240" w:lineRule="atLeast"/>
      </w:pPr>
      <w:r w:rsidRPr="0055101F">
        <w:rPr>
          <w:b/>
          <w:lang w:eastAsia="en-US"/>
        </w:rPr>
        <w:t>Entwicklung der Einbürgerungszuständigkeit in Zürcher Gemeinden 2003 - 2019</w:t>
      </w:r>
      <w:r w:rsidRPr="0055101F">
        <w:rPr>
          <w:lang w:eastAsia="en-US"/>
        </w:rPr>
        <w:t xml:space="preserve"> </w:t>
      </w:r>
      <w:r w:rsidRPr="0055101F">
        <w:rPr>
          <w:lang w:eastAsia="en-US"/>
        </w:rPr>
        <w:br/>
        <w:t>(Personen ohne Anspruch auf Einbürgerung)</w:t>
      </w:r>
    </w:p>
    <w:tbl>
      <w:tblPr>
        <w:tblStyle w:val="Tabellenraster2"/>
        <w:tblW w:w="0" w:type="auto"/>
        <w:tblInd w:w="108" w:type="dxa"/>
        <w:tblLook w:val="04A0" w:firstRow="1" w:lastRow="0" w:firstColumn="1" w:lastColumn="0" w:noHBand="0" w:noVBand="1"/>
      </w:tblPr>
      <w:tblGrid>
        <w:gridCol w:w="2376"/>
        <w:gridCol w:w="879"/>
        <w:gridCol w:w="879"/>
        <w:gridCol w:w="879"/>
        <w:gridCol w:w="879"/>
        <w:gridCol w:w="879"/>
        <w:gridCol w:w="1872"/>
      </w:tblGrid>
      <w:tr w:rsidR="0055101F" w:rsidRPr="0055101F" w:rsidTr="00F0230D">
        <w:tc>
          <w:tcPr>
            <w:tcW w:w="2376"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Einbürgerungsorgan</w:t>
            </w:r>
          </w:p>
        </w:tc>
        <w:tc>
          <w:tcPr>
            <w:tcW w:w="879"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2003</w:t>
            </w:r>
          </w:p>
        </w:tc>
        <w:tc>
          <w:tcPr>
            <w:tcW w:w="879"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2007</w:t>
            </w:r>
          </w:p>
        </w:tc>
        <w:tc>
          <w:tcPr>
            <w:tcW w:w="879"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2010</w:t>
            </w:r>
          </w:p>
        </w:tc>
        <w:tc>
          <w:tcPr>
            <w:tcW w:w="879"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2015</w:t>
            </w:r>
          </w:p>
        </w:tc>
        <w:tc>
          <w:tcPr>
            <w:tcW w:w="879"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2019</w:t>
            </w:r>
          </w:p>
        </w:tc>
        <w:tc>
          <w:tcPr>
            <w:tcW w:w="1872" w:type="dxa"/>
            <w:shd w:val="clear" w:color="auto" w:fill="D9D9D9" w:themeFill="background1" w:themeFillShade="D9"/>
          </w:tcPr>
          <w:p w:rsidR="0055101F" w:rsidRPr="0055101F" w:rsidRDefault="0055101F" w:rsidP="0055101F">
            <w:pPr>
              <w:tabs>
                <w:tab w:val="clear" w:pos="397"/>
              </w:tabs>
              <w:rPr>
                <w:rFonts w:cs="Arial"/>
                <w:b/>
                <w:sz w:val="19"/>
                <w:szCs w:val="19"/>
                <w:lang w:eastAsia="de-DE"/>
              </w:rPr>
            </w:pPr>
            <w:r w:rsidRPr="0055101F">
              <w:rPr>
                <w:rFonts w:cs="Arial"/>
                <w:b/>
                <w:sz w:val="19"/>
                <w:szCs w:val="19"/>
                <w:lang w:eastAsia="de-DE"/>
              </w:rPr>
              <w:t>Veränderung</w:t>
            </w:r>
            <w:r w:rsidRPr="0055101F">
              <w:rPr>
                <w:rFonts w:cs="Arial"/>
                <w:b/>
                <w:sz w:val="19"/>
                <w:szCs w:val="19"/>
                <w:vertAlign w:val="superscript"/>
                <w:lang w:eastAsia="de-DE"/>
              </w:rPr>
              <w:footnoteReference w:id="27"/>
            </w:r>
          </w:p>
        </w:tc>
      </w:tr>
      <w:tr w:rsidR="0055101F" w:rsidRPr="0055101F" w:rsidTr="00F0230D">
        <w:tc>
          <w:tcPr>
            <w:tcW w:w="2376" w:type="dxa"/>
          </w:tcPr>
          <w:p w:rsidR="0055101F" w:rsidRPr="0055101F" w:rsidRDefault="0055101F" w:rsidP="0055101F">
            <w:pPr>
              <w:rPr>
                <w:sz w:val="19"/>
              </w:rPr>
            </w:pPr>
            <w:r w:rsidRPr="0055101F">
              <w:rPr>
                <w:sz w:val="19"/>
              </w:rPr>
              <w:t>Gemeindeversammlung</w:t>
            </w:r>
          </w:p>
        </w:tc>
        <w:tc>
          <w:tcPr>
            <w:tcW w:w="879" w:type="dxa"/>
          </w:tcPr>
          <w:p w:rsidR="0055101F" w:rsidRPr="0055101F" w:rsidRDefault="0055101F" w:rsidP="0055101F">
            <w:pPr>
              <w:rPr>
                <w:sz w:val="19"/>
              </w:rPr>
            </w:pPr>
            <w:r w:rsidRPr="0055101F">
              <w:rPr>
                <w:sz w:val="19"/>
              </w:rPr>
              <w:t>151</w:t>
            </w:r>
          </w:p>
        </w:tc>
        <w:tc>
          <w:tcPr>
            <w:tcW w:w="879" w:type="dxa"/>
          </w:tcPr>
          <w:p w:rsidR="0055101F" w:rsidRPr="0055101F" w:rsidRDefault="0055101F" w:rsidP="0055101F">
            <w:pPr>
              <w:rPr>
                <w:sz w:val="19"/>
              </w:rPr>
            </w:pPr>
            <w:r w:rsidRPr="0055101F">
              <w:rPr>
                <w:sz w:val="19"/>
              </w:rPr>
              <w:t>85</w:t>
            </w:r>
          </w:p>
        </w:tc>
        <w:tc>
          <w:tcPr>
            <w:tcW w:w="879" w:type="dxa"/>
          </w:tcPr>
          <w:p w:rsidR="0055101F" w:rsidRPr="0055101F" w:rsidRDefault="0055101F" w:rsidP="0055101F">
            <w:pPr>
              <w:rPr>
                <w:sz w:val="19"/>
              </w:rPr>
            </w:pPr>
            <w:r w:rsidRPr="0055101F">
              <w:rPr>
                <w:sz w:val="19"/>
              </w:rPr>
              <w:t>57</w:t>
            </w:r>
          </w:p>
        </w:tc>
        <w:tc>
          <w:tcPr>
            <w:tcW w:w="879" w:type="dxa"/>
          </w:tcPr>
          <w:p w:rsidR="0055101F" w:rsidRPr="0055101F" w:rsidRDefault="0055101F" w:rsidP="0055101F">
            <w:pPr>
              <w:rPr>
                <w:sz w:val="19"/>
              </w:rPr>
            </w:pPr>
            <w:r w:rsidRPr="0055101F">
              <w:rPr>
                <w:sz w:val="19"/>
              </w:rPr>
              <w:t>52</w:t>
            </w:r>
          </w:p>
        </w:tc>
        <w:tc>
          <w:tcPr>
            <w:tcW w:w="879" w:type="dxa"/>
          </w:tcPr>
          <w:p w:rsidR="0055101F" w:rsidRPr="0055101F" w:rsidRDefault="0055101F" w:rsidP="0055101F">
            <w:pPr>
              <w:rPr>
                <w:sz w:val="19"/>
              </w:rPr>
            </w:pPr>
            <w:r w:rsidRPr="0055101F">
              <w:rPr>
                <w:sz w:val="19"/>
              </w:rPr>
              <w:t>34</w:t>
            </w:r>
          </w:p>
        </w:tc>
        <w:tc>
          <w:tcPr>
            <w:tcW w:w="1872" w:type="dxa"/>
          </w:tcPr>
          <w:p w:rsidR="0055101F" w:rsidRPr="0055101F" w:rsidRDefault="0055101F" w:rsidP="0055101F">
            <w:pPr>
              <w:rPr>
                <w:sz w:val="19"/>
              </w:rPr>
            </w:pPr>
            <w:r w:rsidRPr="0055101F">
              <w:rPr>
                <w:sz w:val="19"/>
              </w:rPr>
              <w:t>- 117</w:t>
            </w:r>
          </w:p>
        </w:tc>
      </w:tr>
      <w:tr w:rsidR="0055101F" w:rsidRPr="0055101F" w:rsidTr="00F0230D">
        <w:tc>
          <w:tcPr>
            <w:tcW w:w="2376" w:type="dxa"/>
          </w:tcPr>
          <w:p w:rsidR="0055101F" w:rsidRPr="0055101F" w:rsidRDefault="0055101F" w:rsidP="0055101F">
            <w:pPr>
              <w:rPr>
                <w:sz w:val="19"/>
              </w:rPr>
            </w:pPr>
            <w:r w:rsidRPr="0055101F">
              <w:rPr>
                <w:sz w:val="19"/>
              </w:rPr>
              <w:t>Gemeinderat</w:t>
            </w:r>
          </w:p>
        </w:tc>
        <w:tc>
          <w:tcPr>
            <w:tcW w:w="879" w:type="dxa"/>
          </w:tcPr>
          <w:p w:rsidR="0055101F" w:rsidRPr="0055101F" w:rsidRDefault="0055101F" w:rsidP="0055101F">
            <w:pPr>
              <w:rPr>
                <w:sz w:val="19"/>
              </w:rPr>
            </w:pPr>
            <w:r w:rsidRPr="0055101F">
              <w:rPr>
                <w:sz w:val="19"/>
              </w:rPr>
              <w:t>8</w:t>
            </w:r>
          </w:p>
        </w:tc>
        <w:tc>
          <w:tcPr>
            <w:tcW w:w="879" w:type="dxa"/>
          </w:tcPr>
          <w:p w:rsidR="0055101F" w:rsidRPr="0055101F" w:rsidRDefault="0055101F" w:rsidP="0055101F">
            <w:pPr>
              <w:rPr>
                <w:sz w:val="19"/>
              </w:rPr>
            </w:pPr>
            <w:r w:rsidRPr="0055101F">
              <w:rPr>
                <w:sz w:val="19"/>
              </w:rPr>
              <w:t>67</w:t>
            </w:r>
          </w:p>
        </w:tc>
        <w:tc>
          <w:tcPr>
            <w:tcW w:w="879" w:type="dxa"/>
          </w:tcPr>
          <w:p w:rsidR="0055101F" w:rsidRPr="0055101F" w:rsidRDefault="0055101F" w:rsidP="0055101F">
            <w:pPr>
              <w:rPr>
                <w:sz w:val="19"/>
              </w:rPr>
            </w:pPr>
            <w:r w:rsidRPr="0055101F">
              <w:rPr>
                <w:sz w:val="19"/>
              </w:rPr>
              <w:t>94</w:t>
            </w:r>
          </w:p>
        </w:tc>
        <w:tc>
          <w:tcPr>
            <w:tcW w:w="879" w:type="dxa"/>
          </w:tcPr>
          <w:p w:rsidR="0055101F" w:rsidRPr="0055101F" w:rsidRDefault="0055101F" w:rsidP="0055101F">
            <w:pPr>
              <w:rPr>
                <w:sz w:val="19"/>
              </w:rPr>
            </w:pPr>
            <w:r w:rsidRPr="0055101F">
              <w:rPr>
                <w:sz w:val="19"/>
              </w:rPr>
              <w:t>97</w:t>
            </w:r>
          </w:p>
        </w:tc>
        <w:tc>
          <w:tcPr>
            <w:tcW w:w="879" w:type="dxa"/>
          </w:tcPr>
          <w:p w:rsidR="0055101F" w:rsidRPr="0055101F" w:rsidRDefault="0055101F" w:rsidP="0055101F">
            <w:pPr>
              <w:rPr>
                <w:sz w:val="19"/>
              </w:rPr>
            </w:pPr>
            <w:r w:rsidRPr="0055101F">
              <w:rPr>
                <w:sz w:val="19"/>
              </w:rPr>
              <w:t>110</w:t>
            </w:r>
          </w:p>
        </w:tc>
        <w:tc>
          <w:tcPr>
            <w:tcW w:w="1872" w:type="dxa"/>
          </w:tcPr>
          <w:p w:rsidR="0055101F" w:rsidRPr="0055101F" w:rsidRDefault="0055101F" w:rsidP="0055101F">
            <w:pPr>
              <w:rPr>
                <w:sz w:val="19"/>
              </w:rPr>
            </w:pPr>
            <w:r w:rsidRPr="0055101F">
              <w:rPr>
                <w:sz w:val="19"/>
              </w:rPr>
              <w:t>+ 102</w:t>
            </w:r>
          </w:p>
        </w:tc>
      </w:tr>
      <w:tr w:rsidR="0055101F" w:rsidRPr="0055101F" w:rsidTr="00F0230D">
        <w:tc>
          <w:tcPr>
            <w:tcW w:w="2376" w:type="dxa"/>
          </w:tcPr>
          <w:p w:rsidR="0055101F" w:rsidRPr="0055101F" w:rsidRDefault="0055101F" w:rsidP="0055101F">
            <w:pPr>
              <w:rPr>
                <w:sz w:val="19"/>
              </w:rPr>
            </w:pPr>
            <w:r w:rsidRPr="0055101F">
              <w:rPr>
                <w:sz w:val="19"/>
              </w:rPr>
              <w:t>Bürgerrechtskommission</w:t>
            </w:r>
          </w:p>
        </w:tc>
        <w:tc>
          <w:tcPr>
            <w:tcW w:w="879" w:type="dxa"/>
          </w:tcPr>
          <w:p w:rsidR="0055101F" w:rsidRPr="0055101F" w:rsidRDefault="0055101F" w:rsidP="0055101F">
            <w:pPr>
              <w:rPr>
                <w:sz w:val="19"/>
              </w:rPr>
            </w:pPr>
            <w:r w:rsidRPr="0055101F">
              <w:rPr>
                <w:sz w:val="19"/>
              </w:rPr>
              <w:t>0</w:t>
            </w:r>
          </w:p>
        </w:tc>
        <w:tc>
          <w:tcPr>
            <w:tcW w:w="879" w:type="dxa"/>
          </w:tcPr>
          <w:p w:rsidR="0055101F" w:rsidRPr="0055101F" w:rsidRDefault="0055101F" w:rsidP="0055101F">
            <w:pPr>
              <w:rPr>
                <w:sz w:val="19"/>
              </w:rPr>
            </w:pPr>
            <w:r w:rsidRPr="0055101F">
              <w:rPr>
                <w:sz w:val="19"/>
              </w:rPr>
              <w:t>7</w:t>
            </w:r>
          </w:p>
        </w:tc>
        <w:tc>
          <w:tcPr>
            <w:tcW w:w="879" w:type="dxa"/>
          </w:tcPr>
          <w:p w:rsidR="0055101F" w:rsidRPr="0055101F" w:rsidRDefault="0055101F" w:rsidP="0055101F">
            <w:pPr>
              <w:rPr>
                <w:sz w:val="19"/>
              </w:rPr>
            </w:pPr>
            <w:r w:rsidRPr="0055101F">
              <w:rPr>
                <w:sz w:val="19"/>
              </w:rPr>
              <w:t>10</w:t>
            </w:r>
          </w:p>
        </w:tc>
        <w:tc>
          <w:tcPr>
            <w:tcW w:w="879" w:type="dxa"/>
          </w:tcPr>
          <w:p w:rsidR="0055101F" w:rsidRPr="0055101F" w:rsidRDefault="0055101F" w:rsidP="0055101F">
            <w:pPr>
              <w:rPr>
                <w:sz w:val="19"/>
              </w:rPr>
            </w:pPr>
            <w:r w:rsidRPr="0055101F">
              <w:rPr>
                <w:sz w:val="19"/>
              </w:rPr>
              <w:t>9</w:t>
            </w:r>
          </w:p>
        </w:tc>
        <w:tc>
          <w:tcPr>
            <w:tcW w:w="879" w:type="dxa"/>
          </w:tcPr>
          <w:p w:rsidR="0055101F" w:rsidRPr="0055101F" w:rsidRDefault="0055101F" w:rsidP="0055101F">
            <w:pPr>
              <w:rPr>
                <w:sz w:val="19"/>
              </w:rPr>
            </w:pPr>
            <w:r w:rsidRPr="0055101F">
              <w:rPr>
                <w:sz w:val="19"/>
              </w:rPr>
              <w:t>7</w:t>
            </w:r>
          </w:p>
        </w:tc>
        <w:tc>
          <w:tcPr>
            <w:tcW w:w="1872" w:type="dxa"/>
          </w:tcPr>
          <w:p w:rsidR="0055101F" w:rsidRPr="0055101F" w:rsidRDefault="0055101F" w:rsidP="0055101F">
            <w:pPr>
              <w:rPr>
                <w:sz w:val="19"/>
              </w:rPr>
            </w:pPr>
            <w:r w:rsidRPr="0055101F">
              <w:rPr>
                <w:sz w:val="19"/>
              </w:rPr>
              <w:t>+ 7</w:t>
            </w:r>
          </w:p>
        </w:tc>
      </w:tr>
      <w:tr w:rsidR="0055101F" w:rsidRPr="0055101F" w:rsidTr="00F0230D">
        <w:tc>
          <w:tcPr>
            <w:tcW w:w="2376" w:type="dxa"/>
          </w:tcPr>
          <w:p w:rsidR="0055101F" w:rsidRPr="0055101F" w:rsidRDefault="0055101F" w:rsidP="0055101F">
            <w:pPr>
              <w:rPr>
                <w:sz w:val="19"/>
              </w:rPr>
            </w:pPr>
            <w:r w:rsidRPr="0055101F">
              <w:rPr>
                <w:sz w:val="19"/>
              </w:rPr>
              <w:t>Gemeindeparlament</w:t>
            </w:r>
          </w:p>
        </w:tc>
        <w:tc>
          <w:tcPr>
            <w:tcW w:w="879" w:type="dxa"/>
          </w:tcPr>
          <w:p w:rsidR="0055101F" w:rsidRPr="0055101F" w:rsidRDefault="0055101F" w:rsidP="0055101F">
            <w:pPr>
              <w:rPr>
                <w:sz w:val="19"/>
              </w:rPr>
            </w:pPr>
            <w:r w:rsidRPr="0055101F">
              <w:rPr>
                <w:sz w:val="19"/>
              </w:rPr>
              <w:t>12</w:t>
            </w:r>
          </w:p>
        </w:tc>
        <w:tc>
          <w:tcPr>
            <w:tcW w:w="879" w:type="dxa"/>
          </w:tcPr>
          <w:p w:rsidR="0055101F" w:rsidRPr="0055101F" w:rsidRDefault="0055101F" w:rsidP="0055101F">
            <w:pPr>
              <w:rPr>
                <w:sz w:val="19"/>
              </w:rPr>
            </w:pPr>
            <w:r w:rsidRPr="0055101F">
              <w:rPr>
                <w:sz w:val="19"/>
              </w:rPr>
              <w:t>8</w:t>
            </w:r>
          </w:p>
        </w:tc>
        <w:tc>
          <w:tcPr>
            <w:tcW w:w="879" w:type="dxa"/>
          </w:tcPr>
          <w:p w:rsidR="0055101F" w:rsidRPr="0055101F" w:rsidRDefault="0055101F" w:rsidP="0055101F">
            <w:pPr>
              <w:rPr>
                <w:sz w:val="19"/>
              </w:rPr>
            </w:pPr>
            <w:r w:rsidRPr="0055101F">
              <w:rPr>
                <w:sz w:val="19"/>
              </w:rPr>
              <w:t>5</w:t>
            </w:r>
          </w:p>
        </w:tc>
        <w:tc>
          <w:tcPr>
            <w:tcW w:w="879" w:type="dxa"/>
          </w:tcPr>
          <w:p w:rsidR="0055101F" w:rsidRPr="0055101F" w:rsidRDefault="0055101F" w:rsidP="0055101F">
            <w:pPr>
              <w:rPr>
                <w:sz w:val="19"/>
              </w:rPr>
            </w:pPr>
            <w:r w:rsidRPr="0055101F">
              <w:rPr>
                <w:sz w:val="19"/>
              </w:rPr>
              <w:t>4</w:t>
            </w:r>
          </w:p>
        </w:tc>
        <w:tc>
          <w:tcPr>
            <w:tcW w:w="879" w:type="dxa"/>
          </w:tcPr>
          <w:p w:rsidR="0055101F" w:rsidRPr="0055101F" w:rsidRDefault="0055101F" w:rsidP="0055101F">
            <w:pPr>
              <w:rPr>
                <w:sz w:val="19"/>
              </w:rPr>
            </w:pPr>
            <w:r w:rsidRPr="0055101F">
              <w:rPr>
                <w:sz w:val="19"/>
              </w:rPr>
              <w:t>3</w:t>
            </w:r>
          </w:p>
        </w:tc>
        <w:tc>
          <w:tcPr>
            <w:tcW w:w="1872" w:type="dxa"/>
          </w:tcPr>
          <w:p w:rsidR="0055101F" w:rsidRPr="0055101F" w:rsidRDefault="0055101F" w:rsidP="0055101F">
            <w:pPr>
              <w:rPr>
                <w:sz w:val="19"/>
              </w:rPr>
            </w:pPr>
            <w:r w:rsidRPr="0055101F">
              <w:rPr>
                <w:sz w:val="19"/>
              </w:rPr>
              <w:t>- 9</w:t>
            </w:r>
          </w:p>
        </w:tc>
      </w:tr>
      <w:tr w:rsidR="0055101F" w:rsidRPr="0055101F" w:rsidTr="00F0230D">
        <w:tc>
          <w:tcPr>
            <w:tcW w:w="2376" w:type="dxa"/>
          </w:tcPr>
          <w:p w:rsidR="0055101F" w:rsidRPr="0055101F" w:rsidRDefault="0055101F" w:rsidP="0055101F">
            <w:pPr>
              <w:rPr>
                <w:sz w:val="19"/>
              </w:rPr>
            </w:pPr>
            <w:r w:rsidRPr="0055101F">
              <w:rPr>
                <w:sz w:val="19"/>
              </w:rPr>
              <w:t>Stadtrat</w:t>
            </w:r>
          </w:p>
        </w:tc>
        <w:tc>
          <w:tcPr>
            <w:tcW w:w="879" w:type="dxa"/>
          </w:tcPr>
          <w:p w:rsidR="0055101F" w:rsidRPr="0055101F" w:rsidRDefault="0055101F" w:rsidP="0055101F">
            <w:pPr>
              <w:rPr>
                <w:sz w:val="19"/>
              </w:rPr>
            </w:pPr>
            <w:r w:rsidRPr="0055101F">
              <w:rPr>
                <w:sz w:val="19"/>
              </w:rPr>
              <w:t>0</w:t>
            </w:r>
          </w:p>
        </w:tc>
        <w:tc>
          <w:tcPr>
            <w:tcW w:w="879" w:type="dxa"/>
          </w:tcPr>
          <w:p w:rsidR="0055101F" w:rsidRPr="0055101F" w:rsidRDefault="0055101F" w:rsidP="0055101F">
            <w:pPr>
              <w:rPr>
                <w:sz w:val="19"/>
              </w:rPr>
            </w:pPr>
            <w:r w:rsidRPr="0055101F">
              <w:rPr>
                <w:sz w:val="19"/>
              </w:rPr>
              <w:t>4</w:t>
            </w:r>
          </w:p>
        </w:tc>
        <w:tc>
          <w:tcPr>
            <w:tcW w:w="879" w:type="dxa"/>
          </w:tcPr>
          <w:p w:rsidR="0055101F" w:rsidRPr="0055101F" w:rsidRDefault="0055101F" w:rsidP="0055101F">
            <w:pPr>
              <w:rPr>
                <w:sz w:val="19"/>
              </w:rPr>
            </w:pPr>
            <w:r w:rsidRPr="0055101F">
              <w:rPr>
                <w:sz w:val="19"/>
              </w:rPr>
              <w:t>5</w:t>
            </w:r>
          </w:p>
        </w:tc>
        <w:tc>
          <w:tcPr>
            <w:tcW w:w="879" w:type="dxa"/>
          </w:tcPr>
          <w:p w:rsidR="0055101F" w:rsidRPr="0055101F" w:rsidRDefault="0055101F" w:rsidP="0055101F">
            <w:pPr>
              <w:rPr>
                <w:sz w:val="19"/>
              </w:rPr>
            </w:pPr>
            <w:r w:rsidRPr="0055101F">
              <w:rPr>
                <w:sz w:val="19"/>
              </w:rPr>
              <w:t>7</w:t>
            </w:r>
          </w:p>
        </w:tc>
        <w:tc>
          <w:tcPr>
            <w:tcW w:w="879" w:type="dxa"/>
          </w:tcPr>
          <w:p w:rsidR="0055101F" w:rsidRPr="0055101F" w:rsidRDefault="0055101F" w:rsidP="0055101F">
            <w:pPr>
              <w:rPr>
                <w:sz w:val="19"/>
              </w:rPr>
            </w:pPr>
            <w:r w:rsidRPr="0055101F">
              <w:rPr>
                <w:sz w:val="19"/>
              </w:rPr>
              <w:t>8</w:t>
            </w:r>
          </w:p>
        </w:tc>
        <w:tc>
          <w:tcPr>
            <w:tcW w:w="1872" w:type="dxa"/>
          </w:tcPr>
          <w:p w:rsidR="0055101F" w:rsidRPr="0055101F" w:rsidRDefault="0055101F" w:rsidP="0055101F">
            <w:pPr>
              <w:rPr>
                <w:sz w:val="19"/>
              </w:rPr>
            </w:pPr>
            <w:r w:rsidRPr="0055101F">
              <w:rPr>
                <w:sz w:val="19"/>
              </w:rPr>
              <w:t>+ 8</w:t>
            </w:r>
          </w:p>
        </w:tc>
      </w:tr>
    </w:tbl>
    <w:p w:rsidR="0055101F" w:rsidRPr="0055101F" w:rsidRDefault="00291EAF" w:rsidP="0055101F">
      <w:pPr>
        <w:pStyle w:val="00Vorgabetext"/>
        <w:rPr>
          <w:lang w:eastAsia="en-US"/>
        </w:rPr>
      </w:pPr>
      <w:r>
        <w:rPr>
          <w:lang w:eastAsia="en-US"/>
        </w:rPr>
        <w:br/>
      </w:r>
      <w:r w:rsidR="00F61707" w:rsidRPr="002E7F8A">
        <w:t>Die Qualifikation der Einbürgerung als Rechtsanwendung</w:t>
      </w:r>
      <w:r w:rsidR="002E7F8A" w:rsidRPr="002E7F8A">
        <w:t xml:space="preserve"> hat zur Folge, dass die</w:t>
      </w:r>
      <w:r w:rsidR="00F61707" w:rsidRPr="002E7F8A">
        <w:t xml:space="preserve"> </w:t>
      </w:r>
      <w:r w:rsidR="002E7F8A" w:rsidRPr="002E7F8A">
        <w:t>Unterscheidung zwischen anspruchsberechtigten und n</w:t>
      </w:r>
      <w:r w:rsidR="002E7F8A">
        <w:t>icht</w:t>
      </w:r>
      <w:r w:rsidR="002E7F8A" w:rsidRPr="002E7F8A">
        <w:t xml:space="preserve">anspruchsberechtigten Ausländerinnen und Ausländern </w:t>
      </w:r>
      <w:r w:rsidR="00F61707" w:rsidRPr="002E7F8A">
        <w:t xml:space="preserve">überholt ist und nicht mehr weitergeführt werden kann. </w:t>
      </w:r>
      <w:r w:rsidR="0071346C" w:rsidRPr="002E7F8A">
        <w:rPr>
          <w:lang w:eastAsia="en-US"/>
        </w:rPr>
        <w:t xml:space="preserve">Der </w:t>
      </w:r>
      <w:proofErr w:type="spellStart"/>
      <w:r w:rsidR="0071346C" w:rsidRPr="002E7F8A">
        <w:rPr>
          <w:lang w:eastAsia="en-US"/>
        </w:rPr>
        <w:t>Vernehmlassungsentwurf</w:t>
      </w:r>
      <w:proofErr w:type="spellEnd"/>
      <w:r w:rsidR="0071346C" w:rsidRPr="002E7F8A">
        <w:rPr>
          <w:lang w:eastAsia="en-US"/>
        </w:rPr>
        <w:t xml:space="preserve"> verzichtet deshalb auf diese Unterscheidun</w:t>
      </w:r>
      <w:r w:rsidR="002E7F8A">
        <w:rPr>
          <w:lang w:eastAsia="en-US"/>
        </w:rPr>
        <w:t>g</w:t>
      </w:r>
      <w:r w:rsidR="0071346C" w:rsidRPr="002E7F8A">
        <w:rPr>
          <w:lang w:eastAsia="en-US"/>
        </w:rPr>
        <w:t xml:space="preserve">. </w:t>
      </w:r>
      <w:r w:rsidR="0055101F" w:rsidRPr="002E7F8A">
        <w:rPr>
          <w:lang w:eastAsia="en-US"/>
        </w:rPr>
        <w:t>Wenn a</w:t>
      </w:r>
      <w:r w:rsidR="00E9630F" w:rsidRPr="002E7F8A">
        <w:rPr>
          <w:lang w:eastAsia="en-US"/>
        </w:rPr>
        <w:t>llen Einbürgerungswilligen ein bedingter</w:t>
      </w:r>
      <w:r w:rsidR="0055101F" w:rsidRPr="002E7F8A">
        <w:rPr>
          <w:lang w:eastAsia="en-US"/>
        </w:rPr>
        <w:t xml:space="preserve"> Anspruch auf Einbürgerung zusteht, gibt es </w:t>
      </w:r>
      <w:r w:rsidR="002E7F8A">
        <w:rPr>
          <w:lang w:eastAsia="en-US"/>
        </w:rPr>
        <w:t xml:space="preserve">keinen sachlichen </w:t>
      </w:r>
      <w:r w:rsidR="0055101F" w:rsidRPr="002E7F8A">
        <w:rPr>
          <w:lang w:eastAsia="en-US"/>
        </w:rPr>
        <w:t>Grund mehr, die Einbürgerungswilligen verfahrensmässig ungleich zu behandeln und für die Einbürgerung zwei Gemeindeorgane einzusetzen</w:t>
      </w:r>
      <w:r w:rsidR="0055101F" w:rsidRPr="0055101F">
        <w:rPr>
          <w:lang w:eastAsia="en-US"/>
        </w:rPr>
        <w:t xml:space="preserve">. Es kann künftig </w:t>
      </w:r>
      <w:r w:rsidR="0055101F" w:rsidRPr="0055101F">
        <w:rPr>
          <w:b/>
          <w:lang w:eastAsia="en-US"/>
        </w:rPr>
        <w:t>in jeder Gemeinde nur noch ein Einbürgerungsorgan</w:t>
      </w:r>
      <w:r w:rsidR="00261F1D">
        <w:rPr>
          <w:lang w:eastAsia="en-US"/>
        </w:rPr>
        <w:t xml:space="preserve"> zuständig sein</w:t>
      </w:r>
      <w:r w:rsidR="0055101F" w:rsidRPr="0055101F">
        <w:rPr>
          <w:lang w:eastAsia="en-US"/>
        </w:rPr>
        <w:t>.</w:t>
      </w:r>
    </w:p>
    <w:p w:rsidR="0055101F" w:rsidRPr="0055101F" w:rsidRDefault="0055101F" w:rsidP="0055101F">
      <w:pPr>
        <w:pStyle w:val="00Vorgabetext"/>
        <w:rPr>
          <w:lang w:eastAsia="en-US"/>
        </w:rPr>
      </w:pPr>
      <w:r w:rsidRPr="0055101F">
        <w:rPr>
          <w:lang w:eastAsia="en-US"/>
        </w:rPr>
        <w:t>Damit wird zugleich ein Mangel der geltenden Rechtsordnung korrigiert. Aus dem Wortlaut von § 21</w:t>
      </w:r>
      <w:r w:rsidR="00291EAF">
        <w:rPr>
          <w:lang w:eastAsia="en-US"/>
        </w:rPr>
        <w:t xml:space="preserve"> Abs. 1</w:t>
      </w:r>
      <w:r w:rsidRPr="0055101F">
        <w:rPr>
          <w:lang w:eastAsia="en-US"/>
        </w:rPr>
        <w:t xml:space="preserve"> </w:t>
      </w:r>
      <w:proofErr w:type="spellStart"/>
      <w:r w:rsidRPr="0055101F">
        <w:rPr>
          <w:lang w:eastAsia="en-US"/>
        </w:rPr>
        <w:t>KBüG</w:t>
      </w:r>
      <w:proofErr w:type="spellEnd"/>
      <w:r w:rsidRPr="0055101F">
        <w:rPr>
          <w:lang w:eastAsia="en-US"/>
        </w:rPr>
        <w:t xml:space="preserve"> ergibt sich, dass bei anspruchsberechtigten Personen die Eignung (d.h. die Integration) keine Voraussetzung darstellt, um in das Gemeindebürgerrecht aufgenommen zu werden.</w:t>
      </w:r>
      <w:r w:rsidRPr="0055101F">
        <w:rPr>
          <w:lang w:val="de-DE" w:eastAsia="en-US"/>
        </w:rPr>
        <w:t xml:space="preserve"> Gestützt darauf hat das</w:t>
      </w:r>
      <w:r w:rsidRPr="0055101F">
        <w:rPr>
          <w:lang w:eastAsia="en-US"/>
        </w:rPr>
        <w:t xml:space="preserve"> Verwaltungsgericht des Kantons Zürich in kon</w:t>
      </w:r>
      <w:r w:rsidRPr="0055101F">
        <w:rPr>
          <w:lang w:eastAsia="en-US"/>
        </w:rPr>
        <w:lastRenderedPageBreak/>
        <w:t>stanter Rechtsprechung entschieden, dass die Integration von anspruchsberechtigten Ausländerinnen und Ausländern nur durch Bund und Kanton, nicht aber durch die Gemeinden zu überprüfen sei</w:t>
      </w:r>
      <w:r w:rsidRPr="0055101F">
        <w:rPr>
          <w:vertAlign w:val="superscript"/>
          <w:lang w:eastAsia="en-US"/>
        </w:rPr>
        <w:footnoteReference w:id="28"/>
      </w:r>
      <w:r w:rsidRPr="0055101F">
        <w:rPr>
          <w:lang w:eastAsia="en-US"/>
        </w:rPr>
        <w:t>. Mit der neuen Regelung ist nun klargestellt, dass die Gemeinden – im Umfang der ihnen vom Gesetz zugewiesenen Prüfaufgaben – die Integration bei alle</w:t>
      </w:r>
      <w:r w:rsidR="00CD613E">
        <w:rPr>
          <w:lang w:eastAsia="en-US"/>
        </w:rPr>
        <w:t>n Einbürgerungswilligen prüfen</w:t>
      </w:r>
      <w:r w:rsidRPr="0055101F">
        <w:rPr>
          <w:lang w:eastAsia="en-US"/>
        </w:rPr>
        <w:t>.</w:t>
      </w:r>
    </w:p>
    <w:p w:rsidR="0055101F" w:rsidRPr="0055101F" w:rsidRDefault="0055101F" w:rsidP="0055101F">
      <w:pPr>
        <w:pStyle w:val="00Vorgabetext"/>
        <w:rPr>
          <w:lang w:eastAsia="en-US"/>
        </w:rPr>
      </w:pPr>
      <w:r w:rsidRPr="0055101F">
        <w:rPr>
          <w:lang w:eastAsia="en-US"/>
        </w:rPr>
        <w:t xml:space="preserve">Die neue Regelung hat zur Folge, dass sich die Gemeinden mit geteilter Einbürgerungszuständigkeit entscheiden müssen, </w:t>
      </w:r>
      <w:r w:rsidR="00FA71D9" w:rsidRPr="00E8037A">
        <w:rPr>
          <w:rFonts w:cs="Arial"/>
        </w:rPr>
        <w:t>welchem Organ sie die Einbürgerungszuständigkeit zuweisen wollen: Gemeindeve</w:t>
      </w:r>
      <w:r w:rsidR="00FA71D9">
        <w:rPr>
          <w:rFonts w:cs="Arial"/>
        </w:rPr>
        <w:t>rsammlung bzw. Gemeinde</w:t>
      </w:r>
      <w:r w:rsidR="00FA71D9" w:rsidRPr="00E8037A">
        <w:rPr>
          <w:rFonts w:cs="Arial"/>
        </w:rPr>
        <w:t>p</w:t>
      </w:r>
      <w:r w:rsidR="00FA71D9">
        <w:rPr>
          <w:rFonts w:cs="Arial"/>
        </w:rPr>
        <w:t xml:space="preserve">arlament oder Gemeindevorstand bzw. </w:t>
      </w:r>
      <w:r w:rsidR="00FA71D9" w:rsidRPr="00E8037A">
        <w:rPr>
          <w:rFonts w:cs="Arial"/>
        </w:rPr>
        <w:t>B</w:t>
      </w:r>
      <w:r w:rsidR="00FA71D9">
        <w:rPr>
          <w:rFonts w:cs="Arial"/>
        </w:rPr>
        <w:t xml:space="preserve">ürgerrechtskommission. </w:t>
      </w:r>
      <w:r w:rsidRPr="0055101F">
        <w:rPr>
          <w:lang w:eastAsia="en-US"/>
        </w:rPr>
        <w:t>Für die notwendige Anpassung des kommunalen Rechts wird den Gemeinden eine Frist gesetzt. Solange die Anpassung nicht erfolgt ist, gilt eine Übergangsregelung</w:t>
      </w:r>
      <w:r w:rsidR="00FA71D9">
        <w:rPr>
          <w:lang w:eastAsia="en-US"/>
        </w:rPr>
        <w:t xml:space="preserve"> (vgl. § 23 E-</w:t>
      </w:r>
      <w:proofErr w:type="spellStart"/>
      <w:r w:rsidR="00FA71D9">
        <w:rPr>
          <w:lang w:eastAsia="en-US"/>
        </w:rPr>
        <w:t>KBüG</w:t>
      </w:r>
      <w:proofErr w:type="spellEnd"/>
      <w:r w:rsidR="00FA71D9">
        <w:rPr>
          <w:lang w:eastAsia="en-US"/>
        </w:rPr>
        <w:t>).</w:t>
      </w:r>
      <w:r w:rsidRPr="0055101F">
        <w:rPr>
          <w:lang w:eastAsia="en-US"/>
        </w:rPr>
        <w:t xml:space="preserve"> </w:t>
      </w:r>
    </w:p>
    <w:p w:rsidR="0055101F" w:rsidRDefault="0055101F" w:rsidP="00DA6321">
      <w:pPr>
        <w:pStyle w:val="36Titel3"/>
      </w:pPr>
      <w:bookmarkStart w:id="14" w:name="_Toc6405564"/>
      <w:r>
        <w:t>Aufenthaltsdauer in der Gemeinde</w:t>
      </w:r>
      <w:bookmarkEnd w:id="14"/>
    </w:p>
    <w:p w:rsidR="0055101F" w:rsidRPr="005B09B1" w:rsidRDefault="0055101F" w:rsidP="0055101F">
      <w:pPr>
        <w:tabs>
          <w:tab w:val="clear" w:pos="397"/>
        </w:tabs>
        <w:rPr>
          <w:rFonts w:asciiTheme="minorHAnsi" w:hAnsiTheme="minorHAnsi" w:cstheme="minorHAnsi"/>
          <w:lang w:val="de-DE"/>
        </w:rPr>
      </w:pPr>
      <w:r>
        <w:t>Das geltende</w:t>
      </w:r>
      <w:r w:rsidR="00C8467F">
        <w:t xml:space="preserve"> kantonale</w:t>
      </w:r>
      <w:r>
        <w:t xml:space="preserve"> </w:t>
      </w:r>
      <w:r w:rsidR="00C8467F">
        <w:t xml:space="preserve">Recht </w:t>
      </w:r>
      <w:r w:rsidRPr="003F7EA3">
        <w:t>unterscheidet bei den Anforderungen an die Wohnsitzdauer vier Kategorien v</w:t>
      </w:r>
      <w:r>
        <w:t>on Ausländerinnen und Auslände</w:t>
      </w:r>
      <w:r w:rsidR="004A7974">
        <w:t>r</w:t>
      </w:r>
      <w:r>
        <w:t>n</w:t>
      </w:r>
      <w:r>
        <w:rPr>
          <w:rStyle w:val="Funotenzeichen"/>
        </w:rPr>
        <w:footnoteReference w:id="29"/>
      </w:r>
      <w:r>
        <w:t xml:space="preserve">. Bei allen vier Kategorien schreibt das Gesetz eine Mindestwohnsitzdauer von zwei Jahren vor. </w:t>
      </w:r>
    </w:p>
    <w:p w:rsidR="0055101F" w:rsidRDefault="0055101F" w:rsidP="0055101F">
      <w:pPr>
        <w:spacing w:after="120"/>
      </w:pPr>
      <w:r w:rsidRPr="003F7EA3">
        <w:t>D</w:t>
      </w:r>
      <w:r>
        <w:t xml:space="preserve">er Bund schreibt </w:t>
      </w:r>
      <w:r w:rsidRPr="003F7EA3">
        <w:t>vor, dass die kantonale Gesetzgebung eine Mindestaufenthaltsdauer von zwei bis fünf Jahren vorsehen muss</w:t>
      </w:r>
      <w:r>
        <w:t xml:space="preserve"> (Art. 18 </w:t>
      </w:r>
      <w:proofErr w:type="spellStart"/>
      <w:r>
        <w:t>BüG</w:t>
      </w:r>
      <w:proofErr w:type="spellEnd"/>
      <w:r>
        <w:t>)</w:t>
      </w:r>
      <w:r w:rsidRPr="003F7EA3">
        <w:t xml:space="preserve">. </w:t>
      </w:r>
      <w:r>
        <w:t>Das geltende Zürcher Recht erfüllt diese Vorgabe. Die zweijährige Frist</w:t>
      </w:r>
      <w:r w:rsidR="00307B80">
        <w:rPr>
          <w:rStyle w:val="Funotenzeichen"/>
        </w:rPr>
        <w:footnoteReference w:id="30"/>
      </w:r>
      <w:r>
        <w:t xml:space="preserve"> gilt seit dem 1. Januar 2018 in allen Zürcher Gemeinden; die Ermächtigung der Gemeinden, strengere Anforderungen an die Aufenthaltsdauer festzulegen, wurde auf diesen Zeitpunkt aufgehoben.</w:t>
      </w:r>
    </w:p>
    <w:p w:rsidR="0055101F" w:rsidRDefault="0055101F" w:rsidP="0055101F">
      <w:pPr>
        <w:spacing w:after="120" w:line="240" w:lineRule="atLeast"/>
      </w:pPr>
      <w:r>
        <w:t>An der zweijährigen Aufenthaltsdauer in den Gemeinden wird festgehalten (siehe § 5 Abs. 1 E-</w:t>
      </w:r>
      <w:proofErr w:type="spellStart"/>
      <w:r>
        <w:t>KBüG</w:t>
      </w:r>
      <w:proofErr w:type="spellEnd"/>
      <w:r>
        <w:t>). Für Bewerberinnen und Bewerber bis zum 25. Altersjahr genügen zwei Jahre Wohnsitz im Kanton (§ 5 A</w:t>
      </w:r>
      <w:r w:rsidR="00C8467F">
        <w:t>bs. 2 E-</w:t>
      </w:r>
      <w:proofErr w:type="spellStart"/>
      <w:r w:rsidR="00C8467F">
        <w:t>KBüG</w:t>
      </w:r>
      <w:proofErr w:type="spellEnd"/>
      <w:r w:rsidR="00C8467F">
        <w:t>). Diese Fristen haben</w:t>
      </w:r>
      <w:r>
        <w:t xml:space="preserve"> sich in d</w:t>
      </w:r>
      <w:r w:rsidR="00C8467F">
        <w:t>er Praxis bewährt und entsprechen</w:t>
      </w:r>
      <w:r>
        <w:t xml:space="preserve"> der heutigen Realität </w:t>
      </w:r>
      <w:r w:rsidRPr="003F7EA3">
        <w:t>in Bezug auf Mobilität, Arbeits- und Wohnortswechsel</w:t>
      </w:r>
      <w:r w:rsidR="00DE59BC">
        <w:rPr>
          <w:rStyle w:val="Funotenzeichen"/>
        </w:rPr>
        <w:footnoteReference w:id="31"/>
      </w:r>
      <w:r w:rsidRPr="003F7EA3">
        <w:t>.</w:t>
      </w:r>
      <w:r>
        <w:t xml:space="preserve"> Aufenthaltsfristen</w:t>
      </w:r>
      <w:r w:rsidRPr="003F7EA3">
        <w:t xml:space="preserve"> ermöglichen es den Gemeinden, die Integrationsbemüh</w:t>
      </w:r>
      <w:r w:rsidR="00CD613E">
        <w:t xml:space="preserve">ungen der Bewerberinnen oder Bewerber </w:t>
      </w:r>
      <w:r w:rsidRPr="003F7EA3">
        <w:t>vor Ort während einer bestimmten Zeitspanne zu beobachten und zu beurteilen. Die an einer Einbürgerung interessierten Personen sollen sich in diesem Zeitraum mit den örtlichen Verhältnisse vertraut machen können. Eine Aufenthaltsdauer von zwei Jahren ist dafür ausreichend. Es gibt</w:t>
      </w:r>
      <w:r>
        <w:t xml:space="preserve"> aus der Praxis keine Hinweise</w:t>
      </w:r>
      <w:r w:rsidRPr="003F7EA3">
        <w:t>, dass sich die Chancen einer erfolgreichen Integration verbessern, wenn die kommunale Aufenthaltsdauer mehr als zwei Jahre beträgt, zumal das Bundesrecht bereits einen Aufenthalt von zehn Jahren in der Schweiz vorschreibt</w:t>
      </w:r>
      <w:r>
        <w:t xml:space="preserve">. </w:t>
      </w:r>
      <w:r w:rsidRPr="003F7EA3">
        <w:t>Entscheidend ist nicht die Dauer des Aufenthalts, sondern vielmehr die Frage, welche Integrationsbemühungen jemand in einem bestimmten Zeitraum unternimmt und ob diese - gemessen an den Einbürgerungskri</w:t>
      </w:r>
      <w:r>
        <w:t>terien - erfolgreich verlaufen.</w:t>
      </w:r>
      <w:r w:rsidR="00DE59BC">
        <w:t xml:space="preserve"> </w:t>
      </w:r>
    </w:p>
    <w:p w:rsidR="0055101F" w:rsidRDefault="0055101F" w:rsidP="00DA6321">
      <w:pPr>
        <w:pStyle w:val="36Titel3"/>
      </w:pPr>
      <w:bookmarkStart w:id="15" w:name="_Toc6405565"/>
      <w:r>
        <w:lastRenderedPageBreak/>
        <w:t>Beachtung der Strafrechtsordnung durch Jugendliche</w:t>
      </w:r>
      <w:bookmarkEnd w:id="15"/>
    </w:p>
    <w:p w:rsidR="005432B0" w:rsidRDefault="005432B0" w:rsidP="005432B0">
      <w:pPr>
        <w:pStyle w:val="00Vorgabetext"/>
      </w:pPr>
      <w:r>
        <w:t>Für Jugendliche</w:t>
      </w:r>
      <w:r w:rsidRPr="004E6F05">
        <w:t xml:space="preserve">, </w:t>
      </w:r>
      <w:r>
        <w:t xml:space="preserve">die </w:t>
      </w:r>
      <w:r w:rsidR="00DE2824">
        <w:t xml:space="preserve">vor dem vollendeten </w:t>
      </w:r>
      <w:r w:rsidRPr="004E6F05">
        <w:t>18. Altersjahr eine mit Strafe bedrohte Tat begangen haben</w:t>
      </w:r>
      <w:r>
        <w:t xml:space="preserve">, gilt das </w:t>
      </w:r>
      <w:r w:rsidRPr="00696EC1">
        <w:rPr>
          <w:b/>
        </w:rPr>
        <w:t>J</w:t>
      </w:r>
      <w:r w:rsidRPr="00C8467F">
        <w:rPr>
          <w:b/>
        </w:rPr>
        <w:t>ugendstrafgesetz</w:t>
      </w:r>
      <w:r w:rsidRPr="004E6F05">
        <w:t xml:space="preserve"> (</w:t>
      </w:r>
      <w:proofErr w:type="spellStart"/>
      <w:r w:rsidRPr="004E6F05">
        <w:t>JStG</w:t>
      </w:r>
      <w:proofErr w:type="spellEnd"/>
      <w:r w:rsidR="00DE2824">
        <w:t>, SR 311.1</w:t>
      </w:r>
      <w:r>
        <w:t xml:space="preserve">). </w:t>
      </w:r>
      <w:r w:rsidRPr="004E6F05">
        <w:t xml:space="preserve">Wegleitend bei der Anwendung des Jugendstrafrechts sind der Schutz und die Erziehung der Jugendlichen (Art. 2 Abs. 1 </w:t>
      </w:r>
      <w:proofErr w:type="spellStart"/>
      <w:r w:rsidRPr="004E6F05">
        <w:t>JStG</w:t>
      </w:r>
      <w:proofErr w:type="spellEnd"/>
      <w:r w:rsidRPr="004E6F05">
        <w:t xml:space="preserve">). </w:t>
      </w:r>
      <w:r w:rsidRPr="00F3737A">
        <w:t>Strafen werden nicht als Vergeltungsstra</w:t>
      </w:r>
      <w:r>
        <w:t>fen gesprochen</w:t>
      </w:r>
      <w:r w:rsidRPr="00F3737A">
        <w:t>, sondern als Warnstrafen, die Grenzen verdeutlichen und Lernprozesse auslösen sollen.</w:t>
      </w:r>
      <w:r>
        <w:t xml:space="preserve"> Im Jugendstrafrecht hat </w:t>
      </w:r>
      <w:r w:rsidR="00C8467F">
        <w:t>das Strafmass deshalb nicht die gleiche</w:t>
      </w:r>
      <w:r>
        <w:t xml:space="preserve"> Be</w:t>
      </w:r>
      <w:r w:rsidR="00392AEF">
        <w:t>deutung wie im Erwachsenenstraf</w:t>
      </w:r>
      <w:r>
        <w:t>recht. Die Art der Sanktion lässt keinen direkten Rückschluss auf die Schwere der Tat zu.</w:t>
      </w:r>
    </w:p>
    <w:p w:rsidR="005432B0" w:rsidRPr="00F72111" w:rsidRDefault="005432B0" w:rsidP="005432B0">
      <w:pPr>
        <w:pStyle w:val="00Vorgabetext"/>
      </w:pPr>
      <w:r>
        <w:t xml:space="preserve">Bei Jugendlichen erfolgen </w:t>
      </w:r>
      <w:r w:rsidRPr="004E6F05">
        <w:t xml:space="preserve">Einträge in das </w:t>
      </w:r>
      <w:r w:rsidRPr="006B082C">
        <w:rPr>
          <w:b/>
        </w:rPr>
        <w:t>Strafregister</w:t>
      </w:r>
      <w:r>
        <w:t xml:space="preserve"> </w:t>
      </w:r>
      <w:r w:rsidRPr="004E6F05">
        <w:t>zurückhaltender als bei Erwachsenen.</w:t>
      </w:r>
      <w:r>
        <w:t xml:space="preserve"> </w:t>
      </w:r>
      <w:r w:rsidRPr="00072E3E">
        <w:rPr>
          <w:lang w:val="de-DE"/>
        </w:rPr>
        <w:t>Verurteilungen von Jugendlichen</w:t>
      </w:r>
      <w:r w:rsidR="00B745C6">
        <w:rPr>
          <w:lang w:val="de-DE"/>
        </w:rPr>
        <w:t xml:space="preserve"> wegen eines Verbrechens oder Vergehens</w:t>
      </w:r>
      <w:r w:rsidRPr="00072E3E">
        <w:rPr>
          <w:lang w:val="de-DE"/>
        </w:rPr>
        <w:t xml:space="preserve"> werden</w:t>
      </w:r>
      <w:r>
        <w:rPr>
          <w:lang w:val="de-DE"/>
        </w:rPr>
        <w:t xml:space="preserve"> </w:t>
      </w:r>
      <w:proofErr w:type="spellStart"/>
      <w:r>
        <w:rPr>
          <w:lang w:val="de-DE"/>
        </w:rPr>
        <w:t>g</w:t>
      </w:r>
      <w:r w:rsidR="00B745C6">
        <w:rPr>
          <w:lang w:val="de-DE"/>
        </w:rPr>
        <w:t>emäss</w:t>
      </w:r>
      <w:proofErr w:type="spellEnd"/>
      <w:r w:rsidR="00B745C6">
        <w:rPr>
          <w:lang w:val="de-DE"/>
        </w:rPr>
        <w:t xml:space="preserve"> Art. 366 Abs. 3 </w:t>
      </w:r>
      <w:r>
        <w:rPr>
          <w:lang w:val="de-DE"/>
        </w:rPr>
        <w:t>StGB nur dann</w:t>
      </w:r>
      <w:r w:rsidRPr="00072E3E">
        <w:rPr>
          <w:lang w:val="de-DE"/>
        </w:rPr>
        <w:t xml:space="preserve"> </w:t>
      </w:r>
      <w:r w:rsidR="00B745C6">
        <w:rPr>
          <w:lang w:val="de-DE"/>
        </w:rPr>
        <w:t>in das Strafregister aufgenommen</w:t>
      </w:r>
      <w:r w:rsidRPr="00072E3E">
        <w:rPr>
          <w:lang w:val="de-DE"/>
        </w:rPr>
        <w:t>, wenn sie sanktioniert worden sind</w:t>
      </w:r>
      <w:r>
        <w:rPr>
          <w:lang w:val="de-DE"/>
        </w:rPr>
        <w:t xml:space="preserve"> mit</w:t>
      </w:r>
    </w:p>
    <w:p w:rsidR="005432B0" w:rsidRPr="00072E3E" w:rsidRDefault="005432B0" w:rsidP="005432B0">
      <w:pPr>
        <w:tabs>
          <w:tab w:val="clear" w:pos="397"/>
          <w:tab w:val="clear" w:pos="794"/>
          <w:tab w:val="clear" w:pos="1191"/>
          <w:tab w:val="clear" w:pos="4479"/>
          <w:tab w:val="clear" w:pos="4876"/>
          <w:tab w:val="clear" w:pos="5273"/>
          <w:tab w:val="clear" w:pos="5670"/>
          <w:tab w:val="clear" w:pos="6067"/>
          <w:tab w:val="left" w:pos="299"/>
        </w:tabs>
        <w:spacing w:before="0"/>
        <w:ind w:left="301" w:hanging="284"/>
        <w:rPr>
          <w:rFonts w:cs="Arial"/>
          <w:color w:val="000000"/>
          <w:lang w:val="de-DE"/>
        </w:rPr>
      </w:pPr>
      <w:r>
        <w:rPr>
          <w:rFonts w:cs="Arial"/>
          <w:color w:val="000000"/>
          <w:lang w:val="de-DE"/>
        </w:rPr>
        <w:t>a.</w:t>
      </w:r>
      <w:r>
        <w:rPr>
          <w:rFonts w:cs="Arial"/>
          <w:color w:val="000000"/>
          <w:lang w:val="de-DE"/>
        </w:rPr>
        <w:tab/>
      </w:r>
      <w:r w:rsidRPr="00072E3E">
        <w:rPr>
          <w:rFonts w:cs="Arial"/>
          <w:color w:val="000000"/>
          <w:lang w:val="de-DE"/>
        </w:rPr>
        <w:t xml:space="preserve">einem Freiheitsentzug (Art. 25 </w:t>
      </w:r>
      <w:proofErr w:type="spellStart"/>
      <w:r w:rsidRPr="00072E3E">
        <w:rPr>
          <w:rFonts w:cs="Arial"/>
          <w:color w:val="000000"/>
          <w:lang w:val="de-DE"/>
        </w:rPr>
        <w:t>JStG</w:t>
      </w:r>
      <w:proofErr w:type="spellEnd"/>
      <w:r>
        <w:rPr>
          <w:rFonts w:cs="Arial"/>
          <w:color w:val="000000"/>
          <w:lang w:val="de-DE"/>
        </w:rPr>
        <w:t>)</w:t>
      </w:r>
      <w:r w:rsidRPr="00072E3E">
        <w:rPr>
          <w:rFonts w:cs="Arial"/>
          <w:color w:val="000000"/>
          <w:lang w:val="de-DE"/>
        </w:rPr>
        <w:t>,</w:t>
      </w:r>
    </w:p>
    <w:p w:rsidR="005432B0" w:rsidRPr="00072E3E" w:rsidRDefault="005432B0" w:rsidP="005432B0">
      <w:pPr>
        <w:tabs>
          <w:tab w:val="clear" w:pos="397"/>
          <w:tab w:val="clear" w:pos="794"/>
          <w:tab w:val="clear" w:pos="1191"/>
          <w:tab w:val="clear" w:pos="4479"/>
          <w:tab w:val="clear" w:pos="4876"/>
          <w:tab w:val="clear" w:pos="5273"/>
          <w:tab w:val="clear" w:pos="5670"/>
          <w:tab w:val="clear" w:pos="6067"/>
          <w:tab w:val="left" w:pos="299"/>
        </w:tabs>
        <w:spacing w:before="0"/>
        <w:ind w:left="301" w:hanging="284"/>
        <w:rPr>
          <w:rFonts w:cs="Arial"/>
          <w:color w:val="000000"/>
          <w:lang w:val="de-DE"/>
        </w:rPr>
      </w:pPr>
      <w:r>
        <w:rPr>
          <w:rFonts w:cs="Arial"/>
          <w:color w:val="000000"/>
          <w:lang w:val="de-DE"/>
        </w:rPr>
        <w:t>b.</w:t>
      </w:r>
      <w:r>
        <w:rPr>
          <w:rFonts w:cs="Arial"/>
          <w:color w:val="000000"/>
          <w:lang w:val="de-DE"/>
        </w:rPr>
        <w:tab/>
      </w:r>
      <w:r w:rsidRPr="00072E3E">
        <w:rPr>
          <w:rFonts w:cs="Arial"/>
          <w:color w:val="000000"/>
          <w:lang w:val="de-DE"/>
        </w:rPr>
        <w:t xml:space="preserve">einer Unterbringung (Art. 15 </w:t>
      </w:r>
      <w:proofErr w:type="spellStart"/>
      <w:r w:rsidRPr="00072E3E">
        <w:rPr>
          <w:rFonts w:cs="Arial"/>
          <w:color w:val="000000"/>
          <w:lang w:val="de-DE"/>
        </w:rPr>
        <w:t>JStG</w:t>
      </w:r>
      <w:proofErr w:type="spellEnd"/>
      <w:r w:rsidRPr="00072E3E">
        <w:rPr>
          <w:rFonts w:cs="Arial"/>
          <w:color w:val="000000"/>
          <w:lang w:val="de-DE"/>
        </w:rPr>
        <w:t>),</w:t>
      </w:r>
    </w:p>
    <w:p w:rsidR="005432B0" w:rsidRPr="00072E3E" w:rsidRDefault="005432B0" w:rsidP="005432B0">
      <w:pPr>
        <w:tabs>
          <w:tab w:val="clear" w:pos="397"/>
          <w:tab w:val="clear" w:pos="794"/>
          <w:tab w:val="clear" w:pos="1191"/>
          <w:tab w:val="clear" w:pos="4479"/>
          <w:tab w:val="clear" w:pos="4876"/>
          <w:tab w:val="clear" w:pos="5273"/>
          <w:tab w:val="clear" w:pos="5670"/>
          <w:tab w:val="clear" w:pos="6067"/>
          <w:tab w:val="left" w:pos="299"/>
        </w:tabs>
        <w:spacing w:before="0"/>
        <w:ind w:left="301" w:hanging="284"/>
        <w:rPr>
          <w:rFonts w:cs="Arial"/>
          <w:color w:val="000000"/>
          <w:lang w:val="de-DE"/>
        </w:rPr>
      </w:pPr>
      <w:r>
        <w:rPr>
          <w:rFonts w:cs="Arial"/>
          <w:color w:val="000000"/>
          <w:lang w:val="de-DE"/>
        </w:rPr>
        <w:t>c.</w:t>
      </w:r>
      <w:r>
        <w:rPr>
          <w:rFonts w:cs="Arial"/>
          <w:color w:val="000000"/>
          <w:lang w:val="de-DE"/>
        </w:rPr>
        <w:tab/>
      </w:r>
      <w:r w:rsidRPr="00072E3E">
        <w:rPr>
          <w:rFonts w:cs="Arial"/>
          <w:color w:val="000000"/>
          <w:lang w:val="de-DE"/>
        </w:rPr>
        <w:t xml:space="preserve">einer ambulanten Behandlung (Art. 14 </w:t>
      </w:r>
      <w:proofErr w:type="spellStart"/>
      <w:r w:rsidRPr="00072E3E">
        <w:rPr>
          <w:rFonts w:cs="Arial"/>
          <w:color w:val="000000"/>
          <w:lang w:val="de-DE"/>
        </w:rPr>
        <w:t>JStG</w:t>
      </w:r>
      <w:proofErr w:type="spellEnd"/>
      <w:r w:rsidRPr="00072E3E">
        <w:rPr>
          <w:rFonts w:cs="Arial"/>
          <w:color w:val="000000"/>
          <w:lang w:val="de-DE"/>
        </w:rPr>
        <w:t>),</w:t>
      </w:r>
    </w:p>
    <w:p w:rsidR="005432B0" w:rsidRPr="00072E3E" w:rsidRDefault="005432B0" w:rsidP="005432B0">
      <w:pPr>
        <w:tabs>
          <w:tab w:val="clear" w:pos="397"/>
          <w:tab w:val="clear" w:pos="794"/>
          <w:tab w:val="clear" w:pos="1191"/>
          <w:tab w:val="clear" w:pos="4479"/>
          <w:tab w:val="clear" w:pos="4876"/>
          <w:tab w:val="clear" w:pos="5273"/>
          <w:tab w:val="clear" w:pos="5670"/>
          <w:tab w:val="clear" w:pos="6067"/>
          <w:tab w:val="left" w:pos="299"/>
        </w:tabs>
        <w:spacing w:before="0"/>
        <w:ind w:left="301" w:hanging="284"/>
        <w:rPr>
          <w:rFonts w:cs="Arial"/>
          <w:color w:val="000000"/>
          <w:lang w:val="de-DE"/>
        </w:rPr>
      </w:pPr>
      <w:r w:rsidRPr="00072E3E">
        <w:rPr>
          <w:lang w:val="de-DE"/>
        </w:rPr>
        <w:t xml:space="preserve">d. </w:t>
      </w:r>
      <w:r>
        <w:rPr>
          <w:lang w:val="de-DE"/>
        </w:rPr>
        <w:tab/>
      </w:r>
      <w:r w:rsidRPr="00072E3E">
        <w:rPr>
          <w:lang w:val="de-DE"/>
        </w:rPr>
        <w:t xml:space="preserve">einem Tätigkeits- oder Kontakt- und </w:t>
      </w:r>
      <w:proofErr w:type="spellStart"/>
      <w:r w:rsidRPr="00072E3E">
        <w:rPr>
          <w:lang w:val="de-DE"/>
        </w:rPr>
        <w:t>Rayonverbot</w:t>
      </w:r>
      <w:proofErr w:type="spellEnd"/>
      <w:r w:rsidRPr="00072E3E">
        <w:rPr>
          <w:lang w:val="de-DE"/>
        </w:rPr>
        <w:t xml:space="preserve"> (Art. 16</w:t>
      </w:r>
      <w:r w:rsidRPr="00072E3E">
        <w:rPr>
          <w:iCs/>
          <w:lang w:val="de-DE"/>
        </w:rPr>
        <w:t>a</w:t>
      </w:r>
      <w:r w:rsidRPr="00072E3E">
        <w:rPr>
          <w:lang w:val="de-DE"/>
        </w:rPr>
        <w:t xml:space="preserve"> </w:t>
      </w:r>
      <w:proofErr w:type="spellStart"/>
      <w:r w:rsidRPr="00072E3E">
        <w:rPr>
          <w:lang w:val="de-DE"/>
        </w:rPr>
        <w:t>JStG</w:t>
      </w:r>
      <w:proofErr w:type="spellEnd"/>
      <w:r w:rsidRPr="00072E3E">
        <w:rPr>
          <w:lang w:val="de-DE"/>
        </w:rPr>
        <w:t>).</w:t>
      </w:r>
    </w:p>
    <w:p w:rsidR="005432B0" w:rsidRDefault="005432B0" w:rsidP="005432B0">
      <w:pPr>
        <w:pStyle w:val="7015Zeilenabstand"/>
        <w:spacing w:line="240" w:lineRule="auto"/>
      </w:pPr>
      <w:r>
        <w:t xml:space="preserve">In diesen Fällen ist die Einbürgerung gemäss Art. 4 Abs. 2 und 3 </w:t>
      </w:r>
      <w:proofErr w:type="spellStart"/>
      <w:r>
        <w:t>BüV</w:t>
      </w:r>
      <w:proofErr w:type="spellEnd"/>
      <w:r>
        <w:t xml:space="preserve"> solange nicht möglich, bis der Eintrag aus dem Strafregister entfernt ist</w:t>
      </w:r>
      <w:r>
        <w:rPr>
          <w:rStyle w:val="Funotenzeichen"/>
        </w:rPr>
        <w:footnoteReference w:id="32"/>
      </w:r>
      <w:r>
        <w:t>. Die Wartfristen betragen in den meisten Fällen zehn Jahre, gerechnet ab Ende der Massnahme oder ab dem Datum der Rechtskraft des Urteils (Art. 369</w:t>
      </w:r>
      <w:r w:rsidR="00B745C6">
        <w:t xml:space="preserve"> Abs. 6</w:t>
      </w:r>
      <w:r>
        <w:t xml:space="preserve"> StGB). Bei einem unbed</w:t>
      </w:r>
      <w:r w:rsidR="00181FEE">
        <w:t>ingten Freiheitsentzug (höchstens</w:t>
      </w:r>
      <w:r>
        <w:t xml:space="preserve"> vier Jahre) wird zu den 10 Jahren die Dauer der Strafe hin</w:t>
      </w:r>
      <w:r w:rsidR="00B745C6">
        <w:t>zugerechnet (Art. 369 Abs. 1 Bst</w:t>
      </w:r>
      <w:r>
        <w:t>. d StGB). Bei einer Verurteilung zu einer offenen Unterbringung beträgt die Wartefrist s</w:t>
      </w:r>
      <w:r w:rsidR="00B745C6">
        <w:t>ieben Jahre (Art. 369 Abs. 4 Bst</w:t>
      </w:r>
      <w:r>
        <w:t>. c StGB), bei einer Verurteilung zu einer ambulanten Behandl</w:t>
      </w:r>
      <w:r w:rsidR="00E46596">
        <w:t>ung fünf Jahre (Art. 369 Abs. 4</w:t>
      </w:r>
      <w:r>
        <w:rPr>
          <w:vertAlign w:val="superscript"/>
        </w:rPr>
        <w:t xml:space="preserve">bis </w:t>
      </w:r>
      <w:r>
        <w:t xml:space="preserve">StGB). Diese Sanktionen werden vergleichsweise selten ausgesprochen. </w:t>
      </w:r>
    </w:p>
    <w:p w:rsidR="005432B0" w:rsidRDefault="005432B0" w:rsidP="005432B0">
      <w:pPr>
        <w:pStyle w:val="7015Zeilenabstand"/>
        <w:spacing w:line="240" w:lineRule="auto"/>
      </w:pPr>
      <w:r>
        <w:t xml:space="preserve">Alle übrigen Sanktionen bei straffälligen Jugendlichen sind gemäss Bundesrecht kein Einbürgerungshindernis. Zu den nicht im Strafregister erfassten Sanktionen des Jugendstrafrechts gehören </w:t>
      </w:r>
    </w:p>
    <w:p w:rsidR="005432B0" w:rsidRDefault="005432B0" w:rsidP="005432B0">
      <w:pPr>
        <w:pStyle w:val="7015Zeilenabstand"/>
        <w:tabs>
          <w:tab w:val="clear" w:pos="397"/>
          <w:tab w:val="left" w:pos="284"/>
        </w:tabs>
        <w:spacing w:before="60" w:line="240" w:lineRule="auto"/>
        <w:ind w:left="284" w:hanging="284"/>
      </w:pPr>
      <w:r>
        <w:t xml:space="preserve">- </w:t>
      </w:r>
      <w:r>
        <w:tab/>
        <w:t xml:space="preserve">Verweis (Art. 22 </w:t>
      </w:r>
      <w:proofErr w:type="spellStart"/>
      <w:r>
        <w:t>JStG</w:t>
      </w:r>
      <w:proofErr w:type="spellEnd"/>
      <w:r>
        <w:t>): Förmliche Missbilligung der Tat.</w:t>
      </w:r>
    </w:p>
    <w:p w:rsidR="005432B0" w:rsidRDefault="005432B0" w:rsidP="005432B0">
      <w:pPr>
        <w:pStyle w:val="7015Zeilenabstand"/>
        <w:tabs>
          <w:tab w:val="clear" w:pos="397"/>
          <w:tab w:val="left" w:pos="284"/>
        </w:tabs>
        <w:spacing w:before="60" w:line="240" w:lineRule="auto"/>
        <w:ind w:left="284" w:hanging="284"/>
      </w:pPr>
      <w:r>
        <w:t>-</w:t>
      </w:r>
      <w:r>
        <w:tab/>
        <w:t xml:space="preserve">Persönliche Leistung (Art. 23 </w:t>
      </w:r>
      <w:proofErr w:type="spellStart"/>
      <w:r>
        <w:t>JStG</w:t>
      </w:r>
      <w:proofErr w:type="spellEnd"/>
      <w:r>
        <w:t xml:space="preserve">): Leistung zugunsten von sozialen Einrichtungen, von Werken im öffentlichen Interesse, von hilfsbedürftigen Personen oder </w:t>
      </w:r>
      <w:r w:rsidR="00E46596">
        <w:t>des Geschädigten.  Die Dauer beträgt h</w:t>
      </w:r>
      <w:r w:rsidR="0097148B">
        <w:t>öchstens 10 Tage;</w:t>
      </w:r>
      <w:r>
        <w:t xml:space="preserve"> bei einer Tatbegehung (Verbrechen und Vergehen) </w:t>
      </w:r>
      <w:r w:rsidR="002429EC">
        <w:t>nach vollendetem 15. Altersjahr kann die persönliche Leistung bis zu einer Dauer von drei Monaten angeordnet werden.</w:t>
      </w:r>
    </w:p>
    <w:p w:rsidR="005432B0" w:rsidRDefault="005432B0" w:rsidP="005432B0">
      <w:pPr>
        <w:pStyle w:val="7015Zeilenabstand"/>
        <w:tabs>
          <w:tab w:val="clear" w:pos="397"/>
          <w:tab w:val="left" w:pos="284"/>
        </w:tabs>
        <w:spacing w:before="60" w:line="240" w:lineRule="auto"/>
        <w:ind w:left="284" w:hanging="284"/>
      </w:pPr>
      <w:r>
        <w:t>-</w:t>
      </w:r>
      <w:r>
        <w:tab/>
        <w:t xml:space="preserve">Busse (Art. 24 </w:t>
      </w:r>
      <w:proofErr w:type="spellStart"/>
      <w:r>
        <w:t>JStG</w:t>
      </w:r>
      <w:proofErr w:type="spellEnd"/>
      <w:r>
        <w:t xml:space="preserve">): </w:t>
      </w:r>
      <w:r w:rsidR="0097148B">
        <w:t xml:space="preserve">Bei </w:t>
      </w:r>
      <w:r w:rsidR="00E13A3F">
        <w:t xml:space="preserve">einer </w:t>
      </w:r>
      <w:r>
        <w:t>Tatbegehung n</w:t>
      </w:r>
      <w:r w:rsidR="0097148B">
        <w:t>ach vollendetem 15. Altersjahr</w:t>
      </w:r>
      <w:r w:rsidR="00E13A3F">
        <w:t xml:space="preserve"> kann eine</w:t>
      </w:r>
      <w:r w:rsidR="0097148B">
        <w:t xml:space="preserve"> </w:t>
      </w:r>
      <w:r>
        <w:t>B</w:t>
      </w:r>
      <w:r w:rsidR="00E13A3F">
        <w:t>usse bis höchstens 2000 Franken festgesetzt werden.</w:t>
      </w:r>
    </w:p>
    <w:p w:rsidR="005432B0" w:rsidRDefault="005432B0" w:rsidP="005432B0">
      <w:pPr>
        <w:pStyle w:val="7015Zeilenabstand"/>
        <w:tabs>
          <w:tab w:val="clear" w:pos="397"/>
          <w:tab w:val="left" w:pos="284"/>
        </w:tabs>
        <w:spacing w:before="60" w:line="240" w:lineRule="auto"/>
        <w:ind w:left="284" w:hanging="284"/>
      </w:pPr>
      <w:r>
        <w:t>-</w:t>
      </w:r>
      <w:r>
        <w:tab/>
        <w:t xml:space="preserve">Aufsicht (Art. 12 </w:t>
      </w:r>
      <w:proofErr w:type="spellStart"/>
      <w:r>
        <w:t>JStG</w:t>
      </w:r>
      <w:proofErr w:type="spellEnd"/>
      <w:r>
        <w:t xml:space="preserve">): Einsetzen einer Person, der Einblick und Auskunft über den Jugendlichen zu geben ist. </w:t>
      </w:r>
    </w:p>
    <w:p w:rsidR="005432B0" w:rsidRDefault="005432B0" w:rsidP="005432B0">
      <w:pPr>
        <w:pStyle w:val="7015Zeilenabstand"/>
        <w:tabs>
          <w:tab w:val="clear" w:pos="397"/>
          <w:tab w:val="left" w:pos="284"/>
        </w:tabs>
        <w:spacing w:before="60" w:line="240" w:lineRule="auto"/>
        <w:ind w:left="284" w:hanging="284"/>
      </w:pPr>
      <w:r>
        <w:t xml:space="preserve">- </w:t>
      </w:r>
      <w:r>
        <w:tab/>
        <w:t>Persönliche Be</w:t>
      </w:r>
      <w:r w:rsidR="00E13A3F">
        <w:t xml:space="preserve">treuung (Art. 13 </w:t>
      </w:r>
      <w:proofErr w:type="spellStart"/>
      <w:r w:rsidR="00E13A3F">
        <w:t>JStG</w:t>
      </w:r>
      <w:proofErr w:type="spellEnd"/>
      <w:r w:rsidR="00E13A3F">
        <w:t>): Einsetz</w:t>
      </w:r>
      <w:r>
        <w:t>en einer Person, welche die Eltern in ihrer Erziehungsaufgabe unterstützt und den Jugendlichen persönlich betreut.</w:t>
      </w:r>
    </w:p>
    <w:p w:rsidR="005432B0" w:rsidRDefault="005432B0" w:rsidP="005432B0">
      <w:pPr>
        <w:pStyle w:val="7015Zeilenabstand"/>
        <w:spacing w:before="60" w:line="240" w:lineRule="auto"/>
      </w:pPr>
      <w:r w:rsidRPr="00072E3E">
        <w:lastRenderedPageBreak/>
        <w:t>Die häufigsten Strafen bei Jugendlichen im Kanton Z</w:t>
      </w:r>
      <w:r>
        <w:t>ürich sind der Verweis</w:t>
      </w:r>
      <w:r w:rsidRPr="00072E3E">
        <w:t>, di</w:t>
      </w:r>
      <w:r>
        <w:t>e persönliche Leistung und die Busse</w:t>
      </w:r>
      <w:r>
        <w:rPr>
          <w:rStyle w:val="Funotenzeichen"/>
        </w:rPr>
        <w:footnoteReference w:id="33"/>
      </w:r>
      <w:r w:rsidRPr="00072E3E">
        <w:t>. Diese Strafen werden nicht im Strafregister eingetragen und sind</w:t>
      </w:r>
      <w:r>
        <w:t xml:space="preserve"> </w:t>
      </w:r>
      <w:r w:rsidRPr="00072E3E">
        <w:t>gemäss Bundesrecht</w:t>
      </w:r>
      <w:r>
        <w:t xml:space="preserve"> (Art. 4 Abs. 2 und 3 </w:t>
      </w:r>
      <w:proofErr w:type="spellStart"/>
      <w:r>
        <w:t>BüV</w:t>
      </w:r>
      <w:proofErr w:type="spellEnd"/>
      <w:r>
        <w:t>)</w:t>
      </w:r>
      <w:r w:rsidRPr="00072E3E">
        <w:t xml:space="preserve"> im Einbürgerungsverfahren nicht relevant.</w:t>
      </w:r>
    </w:p>
    <w:p w:rsidR="005432B0" w:rsidRDefault="005432B0" w:rsidP="005432B0">
      <w:pPr>
        <w:pStyle w:val="7015Zeilenabstand"/>
        <w:spacing w:line="240" w:lineRule="auto"/>
      </w:pPr>
      <w:r>
        <w:rPr>
          <w:lang w:val="de-DE"/>
        </w:rPr>
        <w:t>Das Bundesgericht hat mit Entscheid vom 23. Dezember</w:t>
      </w:r>
      <w:r w:rsidRPr="00A958AB">
        <w:rPr>
          <w:lang w:val="de-DE"/>
        </w:rPr>
        <w:t xml:space="preserve"> 2011</w:t>
      </w:r>
      <w:r w:rsidR="00767A2C">
        <w:rPr>
          <w:rStyle w:val="Funotenzeichen"/>
          <w:lang w:val="de-DE"/>
        </w:rPr>
        <w:footnoteReference w:id="34"/>
      </w:r>
      <w:r w:rsidRPr="00A958AB">
        <w:rPr>
          <w:lang w:val="de-DE"/>
        </w:rPr>
        <w:t xml:space="preserve"> festgehalte</w:t>
      </w:r>
      <w:r>
        <w:rPr>
          <w:lang w:val="de-DE"/>
        </w:rPr>
        <w:t>n, dass unter dem damals geltenden Recht</w:t>
      </w:r>
      <w:r w:rsidR="002804CC">
        <w:rPr>
          <w:rStyle w:val="Funotenzeichen"/>
          <w:lang w:val="de-DE"/>
        </w:rPr>
        <w:footnoteReference w:id="35"/>
      </w:r>
      <w:r>
        <w:rPr>
          <w:lang w:val="de-DE"/>
        </w:rPr>
        <w:t xml:space="preserve"> der strafrechtliche Leumund von Jugendlichen im Kanton Zürich </w:t>
      </w:r>
      <w:proofErr w:type="spellStart"/>
      <w:r w:rsidRPr="00A958AB">
        <w:rPr>
          <w:lang w:val="de-DE"/>
        </w:rPr>
        <w:t>ausschliesslich</w:t>
      </w:r>
      <w:proofErr w:type="spellEnd"/>
      <w:r w:rsidRPr="00A958AB">
        <w:rPr>
          <w:lang w:val="de-DE"/>
        </w:rPr>
        <w:t xml:space="preserve"> nach </w:t>
      </w:r>
      <w:proofErr w:type="spellStart"/>
      <w:r w:rsidRPr="00A958AB">
        <w:rPr>
          <w:lang w:val="de-DE"/>
        </w:rPr>
        <w:t>Massgabe</w:t>
      </w:r>
      <w:proofErr w:type="spellEnd"/>
      <w:r w:rsidRPr="00A958AB">
        <w:rPr>
          <w:lang w:val="de-DE"/>
        </w:rPr>
        <w:t xml:space="preserve"> des Strafregisters zu beurteilen ist. Dieses Urteil hat</w:t>
      </w:r>
      <w:r>
        <w:rPr>
          <w:lang w:val="de-DE"/>
        </w:rPr>
        <w:t>te</w:t>
      </w:r>
      <w:r w:rsidRPr="00A958AB">
        <w:rPr>
          <w:lang w:val="de-DE"/>
        </w:rPr>
        <w:t xml:space="preserve"> für die Zürcher Gemeinden zur Folge, dass</w:t>
      </w:r>
      <w:r>
        <w:rPr>
          <w:lang w:val="de-DE"/>
        </w:rPr>
        <w:t xml:space="preserve"> sie</w:t>
      </w:r>
      <w:r w:rsidRPr="00A958AB">
        <w:rPr>
          <w:lang w:val="de-DE"/>
        </w:rPr>
        <w:t xml:space="preserve"> keine eigenen </w:t>
      </w:r>
      <w:r>
        <w:rPr>
          <w:lang w:val="de-DE"/>
        </w:rPr>
        <w:t xml:space="preserve">Wartefristen für verurteilte Jugendliche mehr erlassen durften. </w:t>
      </w:r>
      <w:r>
        <w:t>Im Nachgang zu diesem Bundesgerichtsentscheid wurde von verschiedenen Seiten angeregt, dass im kantonalen Recht Karenzfristen für straffällig gewordene Jugendliche vorgesehen werden sollen, die abgewartet werden müssen, bis ein Einbürgerungsgesuch eingereicht werden kann.</w:t>
      </w:r>
      <w:r w:rsidRPr="008235CA">
        <w:t xml:space="preserve"> </w:t>
      </w:r>
      <w:r>
        <w:t>Mit Schreiben vom 11. September 2012 ersuchte der Verband der Gemeindepräsidenten des Kantons Zürich (GPV) den Regierungsrat um die Schaffung von entsprechenden Rechtsgrundlagen. Der Regierungsrat erachtete das Anliegen als berechtigt; er stellte sich jedoch auf den Standpunkt, dass eine Wartefrist auf Stufe Gesetz verankert werden müsse</w:t>
      </w:r>
      <w:r>
        <w:rPr>
          <w:rStyle w:val="Funotenzeichen"/>
        </w:rPr>
        <w:footnoteReference w:id="36"/>
      </w:r>
      <w:r>
        <w:t xml:space="preserve">. </w:t>
      </w:r>
    </w:p>
    <w:p w:rsidR="005432B0" w:rsidRDefault="005432B0" w:rsidP="005432B0">
      <w:pPr>
        <w:pStyle w:val="00Vorgabetext"/>
        <w:tabs>
          <w:tab w:val="clear" w:pos="794"/>
          <w:tab w:val="clear" w:pos="1191"/>
        </w:tabs>
      </w:pPr>
      <w:r>
        <w:t xml:space="preserve">Bei </w:t>
      </w:r>
      <w:r w:rsidRPr="000D2F3C">
        <w:t>Jugendlichen ist</w:t>
      </w:r>
      <w:r w:rsidRPr="000D2F3C">
        <w:rPr>
          <w:b/>
        </w:rPr>
        <w:t xml:space="preserve"> </w:t>
      </w:r>
      <w:r w:rsidRPr="000D2F3C">
        <w:t>das</w:t>
      </w:r>
      <w:r w:rsidRPr="000D2F3C">
        <w:rPr>
          <w:b/>
        </w:rPr>
        <w:t xml:space="preserve"> </w:t>
      </w:r>
      <w:r w:rsidRPr="0079149C">
        <w:t>Strafregister keine aussagekräftige Grundlage</w:t>
      </w:r>
      <w:r>
        <w:t xml:space="preserve">, um im Einbürgerungsverfahren das Kriterium "Beachtung der Strafrechtsordnung" zu prüfen. Für Einbürgerungswillige, die gestützt auf das Jugendstrafrecht verurteilt wurden, muss deshalb </w:t>
      </w:r>
      <w:r w:rsidRPr="0079149C">
        <w:rPr>
          <w:b/>
        </w:rPr>
        <w:t>im kantonalen Recht eine eigene Lösung</w:t>
      </w:r>
      <w:r>
        <w:t xml:space="preserve"> gefunden werden</w:t>
      </w:r>
      <w:r w:rsidR="0097148B">
        <w:rPr>
          <w:rStyle w:val="Funotenzeichen"/>
        </w:rPr>
        <w:footnoteReference w:id="37"/>
      </w:r>
      <w:r>
        <w:t>. Dabei soll sichergestellt werden, dass nach einer Verurteilung wegen eines Verbrechens oder Vergehens</w:t>
      </w:r>
      <w:r>
        <w:rPr>
          <w:rStyle w:val="Funotenzeichen"/>
        </w:rPr>
        <w:footnoteReference w:id="38"/>
      </w:r>
      <w:r>
        <w:t xml:space="preserve"> während einer gewissen </w:t>
      </w:r>
      <w:r w:rsidRPr="005E12AB">
        <w:rPr>
          <w:b/>
        </w:rPr>
        <w:t>Bewährungsfrist keine Einbürgerung</w:t>
      </w:r>
      <w:r>
        <w:t xml:space="preserve"> möglich ist. Wie bei den Erwachsenen werden Übertretungen nicht berücksichtigt.</w:t>
      </w:r>
    </w:p>
    <w:p w:rsidR="005432B0" w:rsidRPr="0005756A" w:rsidRDefault="005432B0" w:rsidP="005432B0">
      <w:r w:rsidRPr="0005756A">
        <w:t>Bei der Bemessung der Karenzf</w:t>
      </w:r>
      <w:r>
        <w:t xml:space="preserve">rist soll bei </w:t>
      </w:r>
      <w:r>
        <w:rPr>
          <w:b/>
        </w:rPr>
        <w:t>vergleichbaren</w:t>
      </w:r>
      <w:r w:rsidRPr="000D2F3C">
        <w:rPr>
          <w:b/>
        </w:rPr>
        <w:t xml:space="preserve"> Tat</w:t>
      </w:r>
      <w:r w:rsidRPr="0005756A">
        <w:rPr>
          <w:b/>
        </w:rPr>
        <w:t>best</w:t>
      </w:r>
      <w:r w:rsidRPr="000D2F3C">
        <w:rPr>
          <w:b/>
        </w:rPr>
        <w:t>änden im Jugendstrafrecht</w:t>
      </w:r>
      <w:r>
        <w:t xml:space="preserve"> angeknüpft werden</w:t>
      </w:r>
      <w:r w:rsidRPr="0005756A">
        <w:rPr>
          <w:i/>
        </w:rPr>
        <w:t>.</w:t>
      </w:r>
      <w:r>
        <w:t xml:space="preserve"> Bei der Regelung der Voraussetzung "Beachtung der Strafrechtsordnung durch Jugendliche" soll das kantonale Bürgerrecht</w:t>
      </w:r>
      <w:r w:rsidRPr="0005756A">
        <w:t xml:space="preserve"> keine eigenen normativen Wertungsentscheide treffen, sonder</w:t>
      </w:r>
      <w:r>
        <w:t xml:space="preserve">n sich an den </w:t>
      </w:r>
      <w:r w:rsidR="00934D98">
        <w:t>Wertmassstäben</w:t>
      </w:r>
      <w:r w:rsidRPr="0005756A">
        <w:t xml:space="preserve"> des Jugendstrafrechts orientieren. </w:t>
      </w:r>
      <w:r>
        <w:t xml:space="preserve">Folgt man diesem Konzept, bietet sich die Bestimmung zur </w:t>
      </w:r>
      <w:r w:rsidRPr="00720EA8">
        <w:rPr>
          <w:b/>
        </w:rPr>
        <w:t>Vollstreckungsverjährung</w:t>
      </w:r>
      <w:r>
        <w:t xml:space="preserve"> an. Gemäss Art. 37 Abs. 1 </w:t>
      </w:r>
      <w:proofErr w:type="spellStart"/>
      <w:r>
        <w:t>lit</w:t>
      </w:r>
      <w:proofErr w:type="spellEnd"/>
      <w:r>
        <w:t xml:space="preserve">. b </w:t>
      </w:r>
      <w:proofErr w:type="spellStart"/>
      <w:r>
        <w:t>JStG</w:t>
      </w:r>
      <w:proofErr w:type="spellEnd"/>
      <w:r>
        <w:t xml:space="preserve"> verjähren die Strafen in </w:t>
      </w:r>
      <w:r w:rsidRPr="006E6754">
        <w:t>zwei Jahren</w:t>
      </w:r>
      <w:r w:rsidR="00F7553C">
        <w:rPr>
          <w:rStyle w:val="Funotenzeichen"/>
        </w:rPr>
        <w:footnoteReference w:id="39"/>
      </w:r>
      <w:r>
        <w:t xml:space="preserve">. </w:t>
      </w:r>
      <w:r w:rsidRPr="0005756A">
        <w:t>Die Vollstreckungsverjährung knüpft an eine im vollstreckbaren Urteil auferlegten Strafe an. Sie regelt, wie lange diese vollstreckt</w:t>
      </w:r>
      <w:r>
        <w:t xml:space="preserve"> werden kann.</w:t>
      </w:r>
      <w:r w:rsidR="00F7553C" w:rsidRPr="00F7553C">
        <w:t xml:space="preserve"> </w:t>
      </w:r>
      <w:r w:rsidR="00F7553C" w:rsidRPr="0005756A">
        <w:t xml:space="preserve">Das Bedürfnis nach </w:t>
      </w:r>
      <w:r w:rsidR="00F7553C">
        <w:t xml:space="preserve">einer </w:t>
      </w:r>
      <w:r w:rsidR="00F7553C" w:rsidRPr="0005756A">
        <w:t xml:space="preserve">Reaktion auf eine </w:t>
      </w:r>
      <w:r w:rsidR="00F7553C" w:rsidRPr="0005756A">
        <w:lastRenderedPageBreak/>
        <w:t xml:space="preserve">Straftat verringert sich mit zunehmender zeitlicher Distanz (heilende Wirkung der Zeit). </w:t>
      </w:r>
      <w:r w:rsidR="00F7553C">
        <w:t xml:space="preserve">Gerade bei Jugendlichen werden </w:t>
      </w:r>
      <w:r w:rsidR="00F7553C" w:rsidRPr="0005756A">
        <w:t>Sanktionen als problematisch und wenig wirksam eingeschätzt, je mehr Zeit seit der Tat bzw. dem Urteil vergangen ist</w:t>
      </w:r>
      <w:r w:rsidR="00F7553C">
        <w:rPr>
          <w:rStyle w:val="Funotenzeichen"/>
        </w:rPr>
        <w:footnoteReference w:id="40"/>
      </w:r>
      <w:r w:rsidR="00F7553C">
        <w:t>.</w:t>
      </w:r>
    </w:p>
    <w:p w:rsidR="005432B0" w:rsidRDefault="005432B0" w:rsidP="005432B0">
      <w:r>
        <w:t>E</w:t>
      </w:r>
      <w:r w:rsidRPr="005E12AB">
        <w:t xml:space="preserve">ine Strafe, die nicht mehr vollzogen werden kann, </w:t>
      </w:r>
      <w:r>
        <w:t xml:space="preserve">soll </w:t>
      </w:r>
      <w:r w:rsidRPr="005E12AB">
        <w:t>auch im Einbürgerungsve</w:t>
      </w:r>
      <w:r>
        <w:t>rfahren keine Rolle mehr spielen</w:t>
      </w:r>
      <w:r w:rsidR="00F7553C">
        <w:t>. Von daher erscheint</w:t>
      </w:r>
      <w:r w:rsidRPr="0005756A">
        <w:t xml:space="preserve"> eine </w:t>
      </w:r>
      <w:r w:rsidR="00F735BE">
        <w:rPr>
          <w:b/>
        </w:rPr>
        <w:t>Wartefris</w:t>
      </w:r>
      <w:r w:rsidRPr="0005756A">
        <w:rPr>
          <w:b/>
        </w:rPr>
        <w:t xml:space="preserve">t von zwei Jahren </w:t>
      </w:r>
      <w:r w:rsidRPr="0005756A">
        <w:t>nach Verurteilungen wegen Ver</w:t>
      </w:r>
      <w:r>
        <w:t xml:space="preserve">brechen und Vergehen angemessen. </w:t>
      </w:r>
    </w:p>
    <w:p w:rsidR="005432B0" w:rsidRDefault="005432B0" w:rsidP="00DA6321">
      <w:pPr>
        <w:pStyle w:val="36Titel3"/>
      </w:pPr>
      <w:bookmarkStart w:id="16" w:name="_Toc6405566"/>
      <w:proofErr w:type="spellStart"/>
      <w:r>
        <w:t>Vertrautsein</w:t>
      </w:r>
      <w:proofErr w:type="spellEnd"/>
      <w:r>
        <w:t xml:space="preserve"> mit den hiesigen Verhältnissen</w:t>
      </w:r>
      <w:bookmarkEnd w:id="16"/>
    </w:p>
    <w:p w:rsidR="005432B0" w:rsidRDefault="005432B0" w:rsidP="005432B0">
      <w:pPr>
        <w:rPr>
          <w:rFonts w:cs="Arial"/>
        </w:rPr>
      </w:pPr>
      <w:r w:rsidRPr="006A2341">
        <w:t>Der</w:t>
      </w:r>
      <w:r w:rsidRPr="006A2341">
        <w:rPr>
          <w:b/>
        </w:rPr>
        <w:t xml:space="preserve"> </w:t>
      </w:r>
      <w:r w:rsidRPr="006A2341">
        <w:rPr>
          <w:rFonts w:cs="Arial"/>
        </w:rPr>
        <w:t>Bund verlangt von den Bewer</w:t>
      </w:r>
      <w:r>
        <w:rPr>
          <w:rFonts w:cs="Arial"/>
        </w:rPr>
        <w:t>berinnen und Bewerbern</w:t>
      </w:r>
      <w:r w:rsidRPr="006A2341">
        <w:rPr>
          <w:rFonts w:cs="Arial"/>
        </w:rPr>
        <w:t xml:space="preserve">, dass sie mit den schweizerischen Lebensverhältnissen vertraut sein müssen (Art. 11 </w:t>
      </w:r>
      <w:proofErr w:type="spellStart"/>
      <w:r w:rsidRPr="006A2341">
        <w:rPr>
          <w:rFonts w:cs="Arial"/>
        </w:rPr>
        <w:t>lit</w:t>
      </w:r>
      <w:proofErr w:type="spellEnd"/>
      <w:r w:rsidRPr="006A2341">
        <w:rPr>
          <w:rFonts w:cs="Arial"/>
        </w:rPr>
        <w:t xml:space="preserve">. b </w:t>
      </w:r>
      <w:proofErr w:type="spellStart"/>
      <w:r w:rsidRPr="006A2341">
        <w:rPr>
          <w:rFonts w:cs="Arial"/>
        </w:rPr>
        <w:t>BüG</w:t>
      </w:r>
      <w:proofErr w:type="spellEnd"/>
      <w:r w:rsidRPr="006A2341">
        <w:rPr>
          <w:rFonts w:cs="Arial"/>
        </w:rPr>
        <w:t>, Art. 2</w:t>
      </w:r>
      <w:r w:rsidR="00BD1EAC">
        <w:rPr>
          <w:rFonts w:cs="Arial"/>
        </w:rPr>
        <w:t xml:space="preserve"> Abs. 1</w:t>
      </w:r>
      <w:r w:rsidRPr="006A2341">
        <w:rPr>
          <w:rFonts w:cs="Arial"/>
        </w:rPr>
        <w:t xml:space="preserve"> </w:t>
      </w:r>
      <w:proofErr w:type="spellStart"/>
      <w:r w:rsidRPr="006A2341">
        <w:rPr>
          <w:rFonts w:cs="Arial"/>
        </w:rPr>
        <w:t>BüV</w:t>
      </w:r>
      <w:proofErr w:type="spellEnd"/>
      <w:r w:rsidRPr="006A2341">
        <w:rPr>
          <w:rFonts w:cs="Arial"/>
        </w:rPr>
        <w:t>). Im Kanto</w:t>
      </w:r>
      <w:r w:rsidR="003D67CA">
        <w:rPr>
          <w:rFonts w:cs="Arial"/>
        </w:rPr>
        <w:t>n Zürich gelten aufgrund der</w:t>
      </w:r>
      <w:r w:rsidRPr="006A2341">
        <w:rPr>
          <w:rFonts w:cs="Arial"/>
        </w:rPr>
        <w:t xml:space="preserve"> Kantonsverfassung zusätzliche Anforderungen: Art. 20 Abs. 3 </w:t>
      </w:r>
      <w:proofErr w:type="spellStart"/>
      <w:r w:rsidRPr="006A2341">
        <w:rPr>
          <w:rFonts w:cs="Arial"/>
        </w:rPr>
        <w:t>lit</w:t>
      </w:r>
      <w:proofErr w:type="spellEnd"/>
      <w:r w:rsidRPr="006A2341">
        <w:rPr>
          <w:rFonts w:cs="Arial"/>
        </w:rPr>
        <w:t>. c KV verlangt von den Bewerberinnen und Bewerbern, dass sie mit den "hiesigen Verhältnissen" vertraut sind</w:t>
      </w:r>
      <w:r>
        <w:rPr>
          <w:rFonts w:cs="Arial"/>
        </w:rPr>
        <w:t xml:space="preserve">. </w:t>
      </w:r>
      <w:r w:rsidRPr="006A2341">
        <w:rPr>
          <w:rFonts w:cs="Arial"/>
        </w:rPr>
        <w:t xml:space="preserve">Dieser Begriff umfasst – neben den Verhältnissen in der Schweiz – auch die </w:t>
      </w:r>
      <w:r w:rsidRPr="005E12AB">
        <w:rPr>
          <w:rFonts w:cs="Arial"/>
          <w:b/>
        </w:rPr>
        <w:t>Verhältnisse im Kanto</w:t>
      </w:r>
      <w:r w:rsidR="00A2250F">
        <w:rPr>
          <w:rFonts w:cs="Arial"/>
          <w:b/>
        </w:rPr>
        <w:t xml:space="preserve">n Zürich und </w:t>
      </w:r>
      <w:r w:rsidR="003D67CA">
        <w:rPr>
          <w:rFonts w:cs="Arial"/>
          <w:b/>
        </w:rPr>
        <w:t xml:space="preserve">in </w:t>
      </w:r>
      <w:r w:rsidR="00A2250F">
        <w:rPr>
          <w:rFonts w:cs="Arial"/>
          <w:b/>
        </w:rPr>
        <w:t>den Zürcher Gemeinden</w:t>
      </w:r>
      <w:r w:rsidRPr="006A2341">
        <w:rPr>
          <w:rFonts w:cs="Arial"/>
        </w:rPr>
        <w:t xml:space="preserve"> und entspricht darin dem Konzept des dreistufigen Bürgerrechts. Da mit dem Bürgerrecht </w:t>
      </w:r>
      <w:r w:rsidR="00A2250F">
        <w:rPr>
          <w:rFonts w:cs="Arial"/>
        </w:rPr>
        <w:t xml:space="preserve">auch </w:t>
      </w:r>
      <w:r w:rsidRPr="006A2341">
        <w:rPr>
          <w:rFonts w:cs="Arial"/>
        </w:rPr>
        <w:t>das Recht zur politischen Teilnahme</w:t>
      </w:r>
      <w:r w:rsidR="006C5876">
        <w:rPr>
          <w:rFonts w:cs="Arial"/>
        </w:rPr>
        <w:t xml:space="preserve"> im Kanton und in der Wohngemeinde </w:t>
      </w:r>
      <w:r w:rsidRPr="006A2341">
        <w:rPr>
          <w:rFonts w:cs="Arial"/>
        </w:rPr>
        <w:t xml:space="preserve">erworben wird, soll die eingebürgerte Person </w:t>
      </w:r>
      <w:r w:rsidR="003D67CA">
        <w:rPr>
          <w:rFonts w:cs="Arial"/>
        </w:rPr>
        <w:t xml:space="preserve">über die örtlichen Verhältnisse </w:t>
      </w:r>
      <w:r w:rsidRPr="006A2341">
        <w:rPr>
          <w:rFonts w:cs="Arial"/>
        </w:rPr>
        <w:t>in den Grundzügen informiert sein</w:t>
      </w:r>
      <w:r w:rsidR="003D67CA">
        <w:rPr>
          <w:rFonts w:cs="Arial"/>
        </w:rPr>
        <w:t>.</w:t>
      </w:r>
    </w:p>
    <w:p w:rsidR="005432B0"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pPr>
      <w:r w:rsidRPr="0013761B">
        <w:rPr>
          <w:rFonts w:cs="Arial"/>
        </w:rPr>
        <w:t xml:space="preserve">Bei der Auslegung des Begriffs "hiesige Verhältnisse" hat der Gesetzgeber Spielraum. In Anbetracht der heutigen Mobilität und der Vernetzung der Bevölkerung über Gemeinde- und Kantonsgrenzen hinweg und der dadurch abnehmenden lokalen Verankerung erscheint es angemessen, den </w:t>
      </w:r>
      <w:r w:rsidR="003D67CA">
        <w:rPr>
          <w:rFonts w:cs="Arial"/>
        </w:rPr>
        <w:t>Schwerpunkt</w:t>
      </w:r>
      <w:r w:rsidRPr="003D67CA">
        <w:rPr>
          <w:rFonts w:cs="Arial"/>
        </w:rPr>
        <w:t xml:space="preserve"> auf die Kenntnisse der Verhältnisse in der Schweiz</w:t>
      </w:r>
      <w:r w:rsidRPr="0013761B">
        <w:rPr>
          <w:rFonts w:cs="Arial"/>
        </w:rPr>
        <w:t xml:space="preserve"> zu setzen. </w:t>
      </w:r>
      <w:r w:rsidRPr="0013761B">
        <w:t xml:space="preserve">Die Identität der Schweizerinnen und Schweizer konstituiert sich mehr und mehr über ein nationales statt über ein lokales Zugehörigkeitsgefühl. Seit Ende der </w:t>
      </w:r>
      <w:proofErr w:type="spellStart"/>
      <w:r w:rsidRPr="0013761B">
        <w:t>Nullerjahre</w:t>
      </w:r>
      <w:proofErr w:type="spellEnd"/>
      <w:r w:rsidRPr="0013761B">
        <w:t xml:space="preserve"> verliert insbesondere die Wohngemeinde an Wichtigkeit, was die eigene Zugehörigkeit betrifft. Viel eher fühl</w:t>
      </w:r>
      <w:r w:rsidR="003D67CA">
        <w:t>t man sich als Teil der Schweiz</w:t>
      </w:r>
      <w:r w:rsidRPr="0013761B">
        <w:t xml:space="preserve"> als dass man sich darüber definiert, aus welchem Do</w:t>
      </w:r>
      <w:r w:rsidR="00525CCB">
        <w:t>rf oder welcher Stadt man kommt</w:t>
      </w:r>
      <w:r w:rsidRPr="0013761B">
        <w:rPr>
          <w:rStyle w:val="Funotenzeichen"/>
          <w:rFonts w:cs="Arial"/>
        </w:rPr>
        <w:footnoteReference w:id="41"/>
      </w:r>
      <w:r w:rsidRPr="0013761B">
        <w:t>.</w:t>
      </w:r>
    </w:p>
    <w:p w:rsidR="005432B0"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asciiTheme="minorHAnsi" w:hAnsiTheme="minorHAnsi" w:cstheme="minorHAnsi"/>
        </w:rPr>
      </w:pPr>
      <w:r w:rsidRPr="0013761B">
        <w:rPr>
          <w:rFonts w:asciiTheme="minorHAnsi" w:hAnsiTheme="minorHAnsi" w:cstheme="minorHAnsi"/>
        </w:rPr>
        <w:t>Das Bundesgericht hat die Anforderungen an die Grundkenntnisse wie folgt umschrieben: "Von Einbürgerungswilligen darf nicht mehr verlangt werden, als auch von einem durchschnittlichen Schweizer zu erwarten ist. Der Massstab des durchschnittlichen Schweizers bedeutet aber auch, dass es nicht bei einem Minimum sein Bewenden haben muss, sondern Voraussetzungen verlangt werden dürfen, die nicht ausnahmslos jeder Schweizer e</w:t>
      </w:r>
      <w:r w:rsidR="004B3868">
        <w:rPr>
          <w:rFonts w:asciiTheme="minorHAnsi" w:hAnsiTheme="minorHAnsi" w:cstheme="minorHAnsi"/>
        </w:rPr>
        <w:t>benfalls erfüllen könnte"</w:t>
      </w:r>
      <w:r w:rsidR="004918E1">
        <w:rPr>
          <w:rStyle w:val="Funotenzeichen"/>
          <w:rFonts w:asciiTheme="minorHAnsi" w:hAnsiTheme="minorHAnsi" w:cstheme="minorHAnsi"/>
        </w:rPr>
        <w:footnoteReference w:id="42"/>
      </w:r>
      <w:r w:rsidRPr="0013761B">
        <w:rPr>
          <w:rFonts w:asciiTheme="minorHAnsi" w:hAnsiTheme="minorHAnsi" w:cstheme="minorHAnsi"/>
        </w:rPr>
        <w:t xml:space="preserve">. </w:t>
      </w:r>
      <w:r w:rsidR="006F7521" w:rsidRPr="00C02B3B">
        <w:rPr>
          <w:rFonts w:cs="Arial"/>
        </w:rPr>
        <w:t>Die verlangten Anforderungen müsse</w:t>
      </w:r>
      <w:r w:rsidR="006F7521">
        <w:rPr>
          <w:rFonts w:cs="Arial"/>
        </w:rPr>
        <w:t xml:space="preserve">n sinnvoll erscheinen und </w:t>
      </w:r>
      <w:r w:rsidR="006F7521" w:rsidRPr="00C02B3B">
        <w:rPr>
          <w:rFonts w:cs="Arial"/>
        </w:rPr>
        <w:t>einen massgeblichen Zusammenhang zur Ei</w:t>
      </w:r>
      <w:r w:rsidR="006F7521">
        <w:rPr>
          <w:rFonts w:cs="Arial"/>
        </w:rPr>
        <w:t xml:space="preserve">nbürgerungsfrage aufweisen. </w:t>
      </w:r>
      <w:r w:rsidRPr="0013761B">
        <w:rPr>
          <w:rFonts w:asciiTheme="minorHAnsi" w:hAnsiTheme="minorHAnsi" w:cstheme="minorHAnsi"/>
        </w:rPr>
        <w:t>Die für die Einbürgerung g</w:t>
      </w:r>
      <w:r w:rsidR="00D91E11">
        <w:rPr>
          <w:rFonts w:asciiTheme="minorHAnsi" w:hAnsiTheme="minorHAnsi" w:cstheme="minorHAnsi"/>
        </w:rPr>
        <w:t>eforderten Sprachkompetenzen (A2 schriftlich/B</w:t>
      </w:r>
      <w:r w:rsidRPr="0013761B">
        <w:rPr>
          <w:rFonts w:asciiTheme="minorHAnsi" w:hAnsiTheme="minorHAnsi" w:cstheme="minorHAnsi"/>
        </w:rPr>
        <w:t xml:space="preserve">1 mündlich) müssen ausreichen, um den Grundkenntnistest </w:t>
      </w:r>
      <w:r w:rsidR="0060034F">
        <w:rPr>
          <w:rFonts w:asciiTheme="minorHAnsi" w:hAnsiTheme="minorHAnsi" w:cstheme="minorHAnsi"/>
        </w:rPr>
        <w:t>zu bestehen</w:t>
      </w:r>
      <w:r w:rsidR="006F7521">
        <w:rPr>
          <w:rFonts w:asciiTheme="minorHAnsi" w:hAnsiTheme="minorHAnsi" w:cstheme="minorHAnsi"/>
        </w:rPr>
        <w:t xml:space="preserve"> (Art. </w:t>
      </w:r>
      <w:r w:rsidR="006C5876">
        <w:rPr>
          <w:rFonts w:asciiTheme="minorHAnsi" w:hAnsiTheme="minorHAnsi" w:cstheme="minorHAnsi"/>
        </w:rPr>
        <w:t>2 Ab</w:t>
      </w:r>
      <w:r w:rsidR="006F7521">
        <w:rPr>
          <w:rFonts w:asciiTheme="minorHAnsi" w:hAnsiTheme="minorHAnsi" w:cstheme="minorHAnsi"/>
        </w:rPr>
        <w:t xml:space="preserve">s. </w:t>
      </w:r>
      <w:r w:rsidR="006C5876">
        <w:rPr>
          <w:rFonts w:asciiTheme="minorHAnsi" w:hAnsiTheme="minorHAnsi" w:cstheme="minorHAnsi"/>
        </w:rPr>
        <w:t xml:space="preserve">2 </w:t>
      </w:r>
      <w:proofErr w:type="spellStart"/>
      <w:r w:rsidR="006C5876">
        <w:rPr>
          <w:rFonts w:asciiTheme="minorHAnsi" w:hAnsiTheme="minorHAnsi" w:cstheme="minorHAnsi"/>
        </w:rPr>
        <w:t>lit</w:t>
      </w:r>
      <w:proofErr w:type="spellEnd"/>
      <w:r w:rsidR="006C5876">
        <w:rPr>
          <w:rFonts w:asciiTheme="minorHAnsi" w:hAnsiTheme="minorHAnsi" w:cstheme="minorHAnsi"/>
        </w:rPr>
        <w:t xml:space="preserve">. b </w:t>
      </w:r>
      <w:proofErr w:type="spellStart"/>
      <w:r w:rsidR="006C5876">
        <w:rPr>
          <w:rFonts w:asciiTheme="minorHAnsi" w:hAnsiTheme="minorHAnsi" w:cstheme="minorHAnsi"/>
        </w:rPr>
        <w:t>BüV</w:t>
      </w:r>
      <w:proofErr w:type="spellEnd"/>
      <w:r w:rsidR="006C5876">
        <w:rPr>
          <w:rFonts w:asciiTheme="minorHAnsi" w:hAnsiTheme="minorHAnsi" w:cstheme="minorHAnsi"/>
        </w:rPr>
        <w:t>).</w:t>
      </w:r>
    </w:p>
    <w:p w:rsidR="005432B0" w:rsidRPr="00C02B3B"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pPr>
      <w:r w:rsidRPr="00C02B3B">
        <w:rPr>
          <w:rFonts w:cs="Arial"/>
        </w:rPr>
        <w:t xml:space="preserve">Anders als bei der Sprache steht für den Nachweis der Grundkenntnisse noch kein anerkannter und erprobter Referenzrahmen zu Verfügung. </w:t>
      </w:r>
      <w:r w:rsidR="00C1429F" w:rsidRPr="00C1429F">
        <w:rPr>
          <w:rFonts w:cs="Arial"/>
        </w:rPr>
        <w:t>Zurze</w:t>
      </w:r>
      <w:r w:rsidR="00C1429F">
        <w:rPr>
          <w:rFonts w:cs="Arial"/>
        </w:rPr>
        <w:t>it wird im Auftrag des Gemeinde</w:t>
      </w:r>
      <w:r w:rsidR="00C1429F" w:rsidRPr="00C1429F">
        <w:rPr>
          <w:rFonts w:cs="Arial"/>
        </w:rPr>
        <w:t>amt</w:t>
      </w:r>
      <w:r w:rsidR="00C1429F">
        <w:rPr>
          <w:rFonts w:cs="Arial"/>
        </w:rPr>
        <w:t>es des Kantons Zürich ein Grund</w:t>
      </w:r>
      <w:r w:rsidR="00C1429F" w:rsidRPr="00C1429F">
        <w:rPr>
          <w:rFonts w:cs="Arial"/>
        </w:rPr>
        <w:t>kenntnistest entwickelt, der den Gemeinden</w:t>
      </w:r>
      <w:r w:rsidR="00C1429F">
        <w:rPr>
          <w:rFonts w:cs="Arial"/>
        </w:rPr>
        <w:t xml:space="preserve"> bis spätestens zum Inkrafttre</w:t>
      </w:r>
      <w:r w:rsidR="00C1429F" w:rsidRPr="00C1429F">
        <w:rPr>
          <w:rFonts w:cs="Arial"/>
        </w:rPr>
        <w:t>ten des vorliegenden Gesetzes zur Verfügung stehen wird.</w:t>
      </w:r>
      <w:r w:rsidR="00C1429F">
        <w:rPr>
          <w:rFonts w:cs="Arial"/>
        </w:rPr>
        <w:t xml:space="preserve"> Der </w:t>
      </w:r>
      <w:r w:rsidR="00C1429F">
        <w:rPr>
          <w:rFonts w:cs="Arial"/>
          <w:b/>
        </w:rPr>
        <w:t>kantonale</w:t>
      </w:r>
      <w:r w:rsidRPr="00650381">
        <w:rPr>
          <w:rFonts w:cs="Arial"/>
          <w:b/>
        </w:rPr>
        <w:t xml:space="preserve"> Grundkenntnistest</w:t>
      </w:r>
      <w:r w:rsidR="00C1429F">
        <w:rPr>
          <w:rFonts w:cs="Arial"/>
        </w:rPr>
        <w:t xml:space="preserve"> prüft die </w:t>
      </w:r>
      <w:r w:rsidRPr="00C02B3B">
        <w:rPr>
          <w:rFonts w:cs="Arial"/>
        </w:rPr>
        <w:t xml:space="preserve">Kenntnisse auf den Stufen Bund, Kanton und </w:t>
      </w:r>
      <w:r w:rsidR="00A2250F">
        <w:rPr>
          <w:rFonts w:cs="Arial"/>
        </w:rPr>
        <w:t>Z</w:t>
      </w:r>
      <w:r w:rsidR="00312F17">
        <w:rPr>
          <w:rFonts w:cs="Arial"/>
        </w:rPr>
        <w:t xml:space="preserve">ürcher </w:t>
      </w:r>
      <w:r w:rsidR="00C1429F">
        <w:rPr>
          <w:rFonts w:cs="Arial"/>
        </w:rPr>
        <w:lastRenderedPageBreak/>
        <w:t xml:space="preserve">Gemeinden. Das Gemeindeamt wird auch </w:t>
      </w:r>
      <w:r w:rsidRPr="00C02B3B">
        <w:rPr>
          <w:rFonts w:cs="Arial"/>
        </w:rPr>
        <w:t>Hilfsmittel zur Verfügung stellen, mit dem sich die Bewerberinnen und Bewerber das erforderliche Wissen aneignen können.</w:t>
      </w:r>
      <w:r w:rsidRPr="00C02B3B">
        <w:t xml:space="preserve"> </w:t>
      </w:r>
    </w:p>
    <w:p w:rsidR="005432B0"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cs="Arial"/>
        </w:rPr>
      </w:pPr>
      <w:r w:rsidRPr="00C02B3B">
        <w:rPr>
          <w:rFonts w:cs="Arial"/>
        </w:rPr>
        <w:t>Das Gesetz sieht keine Verpflichtung für die Gemeinden vor, ausschliesslich den kantonalen Test zu verwenden. Sie können auch einen Test einsetzen, der von Dritten angeboten wird oder den sie allenfalls selber entwickelt haben. Der Test muss allgemein anerkannten Qualitätskriterien</w:t>
      </w:r>
      <w:r w:rsidR="006C5876">
        <w:rPr>
          <w:rFonts w:cs="Arial"/>
        </w:rPr>
        <w:t xml:space="preserve"> für Testverfahren entsprechen. </w:t>
      </w:r>
      <w:r>
        <w:rPr>
          <w:rFonts w:cs="Arial"/>
        </w:rPr>
        <w:t xml:space="preserve">Um eine einheitliche Praxis sicherzustellen, dürfen nur Grundkenntnistests eingesetzt werden, die vom </w:t>
      </w:r>
      <w:r w:rsidR="0033603E">
        <w:rPr>
          <w:rFonts w:cs="Arial"/>
        </w:rPr>
        <w:t>Kanton geprüft und zugelassen</w:t>
      </w:r>
      <w:r>
        <w:rPr>
          <w:rFonts w:cs="Arial"/>
        </w:rPr>
        <w:t xml:space="preserve"> wurden (§ 9 Abs. 2 </w:t>
      </w:r>
      <w:proofErr w:type="spellStart"/>
      <w:r>
        <w:rPr>
          <w:rFonts w:cs="Arial"/>
        </w:rPr>
        <w:t>lit</w:t>
      </w:r>
      <w:proofErr w:type="spellEnd"/>
      <w:r>
        <w:rPr>
          <w:rFonts w:cs="Arial"/>
        </w:rPr>
        <w:t>. b E-</w:t>
      </w:r>
      <w:proofErr w:type="spellStart"/>
      <w:r>
        <w:rPr>
          <w:rFonts w:cs="Arial"/>
        </w:rPr>
        <w:t>KBüG</w:t>
      </w:r>
      <w:proofErr w:type="spellEnd"/>
      <w:r>
        <w:rPr>
          <w:rFonts w:cs="Arial"/>
        </w:rPr>
        <w:t>)</w:t>
      </w:r>
      <w:r w:rsidR="00D91E11">
        <w:rPr>
          <w:rFonts w:cs="Arial"/>
        </w:rPr>
        <w:t>.</w:t>
      </w:r>
    </w:p>
    <w:p w:rsidR="00D85CEA" w:rsidRPr="00D85CEA" w:rsidRDefault="00792CC5" w:rsidP="00D85CEA">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asciiTheme="minorHAnsi" w:hAnsiTheme="minorHAnsi" w:cstheme="minorHAnsi"/>
        </w:rPr>
      </w:pPr>
      <w:r>
        <w:rPr>
          <w:rFonts w:cs="Arial"/>
        </w:rPr>
        <w:t>Der Gesetzesentwurf</w:t>
      </w:r>
      <w:r w:rsidR="005432B0" w:rsidRPr="003D2F84">
        <w:rPr>
          <w:rFonts w:cs="Arial"/>
        </w:rPr>
        <w:t xml:space="preserve"> räumt den Gemeinden die Möglichkeit ein, zusätzlich die Kenntnisse über die spezifischen lokalen Verhältnisse in der Wohngemeinde der Bewerber</w:t>
      </w:r>
      <w:r w:rsidR="00FC168D">
        <w:rPr>
          <w:rFonts w:cs="Arial"/>
        </w:rPr>
        <w:t>in oder des Bewerbers zu prüfen, sofern dies</w:t>
      </w:r>
      <w:r w:rsidR="005432B0" w:rsidRPr="003D2F84">
        <w:rPr>
          <w:rFonts w:cs="Arial"/>
        </w:rPr>
        <w:t xml:space="preserve"> </w:t>
      </w:r>
      <w:r w:rsidR="00FC168D">
        <w:rPr>
          <w:rFonts w:cs="Arial"/>
        </w:rPr>
        <w:t xml:space="preserve">von der Gemeindeversammlung oder vom Gemeindeparlament beschlossen wurde. Die Prüfung </w:t>
      </w:r>
      <w:r w:rsidR="00D85CEA" w:rsidRPr="00353492">
        <w:rPr>
          <w:rFonts w:asciiTheme="minorHAnsi" w:hAnsiTheme="minorHAnsi" w:cstheme="minorHAnsi"/>
        </w:rPr>
        <w:t>hat im Rahmen des Einbürgerungsgesprächs gemäss § 14 Abs. 2</w:t>
      </w:r>
      <w:r w:rsidR="00D85CEA">
        <w:rPr>
          <w:rFonts w:asciiTheme="minorHAnsi" w:hAnsiTheme="minorHAnsi" w:cstheme="minorHAnsi"/>
        </w:rPr>
        <w:t xml:space="preserve"> E-</w:t>
      </w:r>
      <w:proofErr w:type="spellStart"/>
      <w:r w:rsidR="00D85CEA">
        <w:rPr>
          <w:rFonts w:asciiTheme="minorHAnsi" w:hAnsiTheme="minorHAnsi" w:cstheme="minorHAnsi"/>
        </w:rPr>
        <w:t>KBüG</w:t>
      </w:r>
      <w:proofErr w:type="spellEnd"/>
      <w:r w:rsidR="00D85CEA" w:rsidRPr="00353492">
        <w:rPr>
          <w:rFonts w:asciiTheme="minorHAnsi" w:hAnsiTheme="minorHAnsi" w:cstheme="minorHAnsi"/>
        </w:rPr>
        <w:t xml:space="preserve"> zu erfolgen. Nicht Gegenstand dieses Gespräch sind Grundkenntnisse betreffend den Bund, den Kanton und die Zürcher Gemeinden. Diese werden im Rahmen des Tests gemäss Abs. 2 </w:t>
      </w:r>
      <w:proofErr w:type="spellStart"/>
      <w:r w:rsidR="00D85CEA" w:rsidRPr="00353492">
        <w:rPr>
          <w:rFonts w:asciiTheme="minorHAnsi" w:hAnsiTheme="minorHAnsi" w:cstheme="minorHAnsi"/>
        </w:rPr>
        <w:t>lit</w:t>
      </w:r>
      <w:proofErr w:type="spellEnd"/>
      <w:r w:rsidR="00D85CEA" w:rsidRPr="00353492">
        <w:rPr>
          <w:rFonts w:asciiTheme="minorHAnsi" w:hAnsiTheme="minorHAnsi" w:cstheme="minorHAnsi"/>
        </w:rPr>
        <w:t>. b abschliessend beurteilt.</w:t>
      </w:r>
      <w:r w:rsidR="00D85CEA">
        <w:rPr>
          <w:rFonts w:asciiTheme="minorHAnsi" w:hAnsiTheme="minorHAnsi" w:cstheme="minorHAnsi"/>
        </w:rPr>
        <w:t xml:space="preserve"> </w:t>
      </w:r>
      <w:r w:rsidR="004A7974">
        <w:rPr>
          <w:rFonts w:cs="Arial"/>
        </w:rPr>
        <w:t>Die Gemeinden müssen sicher</w:t>
      </w:r>
      <w:r w:rsidR="00D85CEA" w:rsidRPr="00EE4A55">
        <w:rPr>
          <w:rFonts w:cs="Arial"/>
        </w:rPr>
        <w:t xml:space="preserve">stellen, dass sich Bewerberinnen und Bewerber mit Hilfe von geeigneten Hilfsmitteln vorbereiten können (Art. 2 Abs. 2 </w:t>
      </w:r>
      <w:proofErr w:type="spellStart"/>
      <w:r w:rsidR="00D85CEA" w:rsidRPr="00EE4A55">
        <w:rPr>
          <w:rFonts w:cs="Arial"/>
        </w:rPr>
        <w:t>lit</w:t>
      </w:r>
      <w:proofErr w:type="spellEnd"/>
      <w:r w:rsidR="00D85CEA" w:rsidRPr="00EE4A55">
        <w:rPr>
          <w:rFonts w:cs="Arial"/>
        </w:rPr>
        <w:t xml:space="preserve">. a </w:t>
      </w:r>
      <w:proofErr w:type="spellStart"/>
      <w:r w:rsidR="00D85CEA" w:rsidRPr="00EE4A55">
        <w:rPr>
          <w:rFonts w:cs="Arial"/>
        </w:rPr>
        <w:t>BüV</w:t>
      </w:r>
      <w:proofErr w:type="spellEnd"/>
      <w:r w:rsidR="00D85CEA" w:rsidRPr="00EE4A55">
        <w:rPr>
          <w:rFonts w:cs="Arial"/>
        </w:rPr>
        <w:t>). Im Vorfeld des Einbürgerungsgesprächs müssen die Gemeinden die Bewerberinnen und Bewerber informieren, welche Kenntnisse der lokalen Verhältnisse von ihnen verlangt werden</w:t>
      </w:r>
      <w:r w:rsidR="00D85CEA" w:rsidRPr="00EE4A55">
        <w:rPr>
          <w:rFonts w:cs="Arial"/>
          <w:i/>
        </w:rPr>
        <w:t xml:space="preserve"> </w:t>
      </w:r>
      <w:r w:rsidR="00D85CEA" w:rsidRPr="00EE4A55">
        <w:rPr>
          <w:rFonts w:cs="Arial"/>
        </w:rPr>
        <w:t>(vgl. BGE 140 I 99 E. 3.7.2). Im Gespräch müssen die Gemeinden einen einheitlichen Fragebogen einsetzen.</w:t>
      </w:r>
      <w:r w:rsidR="001278B3">
        <w:rPr>
          <w:rFonts w:cs="Arial"/>
        </w:rPr>
        <w:t xml:space="preserve"> </w:t>
      </w:r>
    </w:p>
    <w:p w:rsidR="005432B0" w:rsidRPr="00C02B3B" w:rsidRDefault="005432B0" w:rsidP="005432B0">
      <w:pPr>
        <w:rPr>
          <w:rFonts w:cs="Arial"/>
        </w:rPr>
      </w:pPr>
      <w:r>
        <w:t xml:space="preserve">Vom Nachweis der Grundkenntnisse befreit sind </w:t>
      </w:r>
      <w:r w:rsidRPr="006A2341">
        <w:t>Bewe</w:t>
      </w:r>
      <w:r>
        <w:t xml:space="preserve">rberinnen und Bewerber, die in der Schweiz fünf Jahre die obligatorische Schule besucht haben. Hier gilt - </w:t>
      </w:r>
      <w:r w:rsidRPr="006A2341">
        <w:t>analog zum Sprachnachw</w:t>
      </w:r>
      <w:r>
        <w:t xml:space="preserve">eis - die gesetzliche Vermutung, </w:t>
      </w:r>
      <w:r w:rsidRPr="006A2341">
        <w:t>dass die erforderlichen Grundkenntnisse im Rahmen der Schul</w:t>
      </w:r>
      <w:r>
        <w:t xml:space="preserve">ausbildung erworben worden sind. </w:t>
      </w:r>
      <w:r w:rsidRPr="00C02B3B">
        <w:rPr>
          <w:rFonts w:cs="Arial"/>
        </w:rPr>
        <w:t xml:space="preserve">Die </w:t>
      </w:r>
      <w:r>
        <w:rPr>
          <w:rFonts w:cs="Arial"/>
        </w:rPr>
        <w:t xml:space="preserve">Vermittlung der grundlegenden </w:t>
      </w:r>
      <w:r w:rsidRPr="00C02B3B">
        <w:rPr>
          <w:rFonts w:cs="Arial"/>
        </w:rPr>
        <w:t>Kenntnisse in Politik, Gesellschaft, Geschichte und Geografie erfolgt in der Volksschule. Dies gilt gleichermassen für Kinder mit Schweizer Bürgerrecht wie für Kinder mit ausländischer Staatsangehörigkeit.</w:t>
      </w:r>
      <w:r w:rsidRPr="00C02B3B">
        <w:t xml:space="preserve"> </w:t>
      </w:r>
      <w:r w:rsidRPr="00C02B3B">
        <w:rPr>
          <w:rFonts w:cs="Arial"/>
        </w:rPr>
        <w:t>Beso</w:t>
      </w:r>
      <w:r>
        <w:rPr>
          <w:rFonts w:cs="Arial"/>
        </w:rPr>
        <w:t>ndere Bedeutung für die Vermitt</w:t>
      </w:r>
      <w:r w:rsidRPr="00C02B3B">
        <w:rPr>
          <w:rFonts w:cs="Arial"/>
        </w:rPr>
        <w:t xml:space="preserve">lung des notwendigen Wissens kommt der Sekundarstufe I zu, deren Besuch deshalb </w:t>
      </w:r>
      <w:r>
        <w:rPr>
          <w:rFonts w:cs="Arial"/>
        </w:rPr>
        <w:t>unerlässlich ist für die Befrei</w:t>
      </w:r>
      <w:r w:rsidRPr="00C02B3B">
        <w:rPr>
          <w:rFonts w:cs="Arial"/>
        </w:rPr>
        <w:t>ung vom Grundkenntnistest</w:t>
      </w:r>
      <w:r>
        <w:rPr>
          <w:rFonts w:cs="Arial"/>
        </w:rPr>
        <w:t xml:space="preserve">. </w:t>
      </w:r>
      <w:r w:rsidR="00312F17">
        <w:rPr>
          <w:rFonts w:cs="Arial"/>
        </w:rPr>
        <w:t xml:space="preserve">Im </w:t>
      </w:r>
      <w:r w:rsidR="003A31EE">
        <w:rPr>
          <w:rFonts w:cs="Arial"/>
        </w:rPr>
        <w:t>Weiteren</w:t>
      </w:r>
      <w:r w:rsidR="00312F17">
        <w:rPr>
          <w:rFonts w:cs="Arial"/>
        </w:rPr>
        <w:t xml:space="preserve"> sind </w:t>
      </w:r>
      <w:r>
        <w:rPr>
          <w:rFonts w:cs="Arial"/>
        </w:rPr>
        <w:t>Kinder in de</w:t>
      </w:r>
      <w:r w:rsidR="00312F17">
        <w:rPr>
          <w:rFonts w:cs="Arial"/>
        </w:rPr>
        <w:t xml:space="preserve">r Altersgruppe 12-16 Jahre </w:t>
      </w:r>
      <w:r>
        <w:rPr>
          <w:rFonts w:cs="Arial"/>
        </w:rPr>
        <w:t>vom Nachweis der Grundkenntnisse</w:t>
      </w:r>
      <w:r w:rsidR="00650381">
        <w:rPr>
          <w:rFonts w:cs="Arial"/>
        </w:rPr>
        <w:t xml:space="preserve"> </w:t>
      </w:r>
      <w:r w:rsidR="00DD7C89">
        <w:rPr>
          <w:rFonts w:cs="Arial"/>
        </w:rPr>
        <w:t>befreit (§ 9 Ab</w:t>
      </w:r>
      <w:r>
        <w:rPr>
          <w:rFonts w:cs="Arial"/>
        </w:rPr>
        <w:t>s. 4 E-</w:t>
      </w:r>
      <w:proofErr w:type="spellStart"/>
      <w:r>
        <w:rPr>
          <w:rFonts w:cs="Arial"/>
        </w:rPr>
        <w:t>KBüG</w:t>
      </w:r>
      <w:proofErr w:type="spellEnd"/>
      <w:r>
        <w:rPr>
          <w:rFonts w:cs="Arial"/>
        </w:rPr>
        <w:t>)</w:t>
      </w:r>
      <w:r w:rsidR="00D91E11">
        <w:rPr>
          <w:rFonts w:cs="Arial"/>
        </w:rPr>
        <w:t>, sofern</w:t>
      </w:r>
      <w:r w:rsidR="00525967">
        <w:rPr>
          <w:rFonts w:cs="Arial"/>
        </w:rPr>
        <w:t xml:space="preserve"> sie die obligatorische Schule besuchen.</w:t>
      </w:r>
    </w:p>
    <w:p w:rsidR="005432B0" w:rsidRDefault="005432B0" w:rsidP="00DA6321">
      <w:pPr>
        <w:pStyle w:val="36Titel3"/>
      </w:pPr>
      <w:bookmarkStart w:id="17" w:name="_Toc6405567"/>
      <w:r>
        <w:t>Aufgabenteilung zwischen Kanton und Gemeinden</w:t>
      </w:r>
      <w:bookmarkEnd w:id="17"/>
    </w:p>
    <w:p w:rsidR="00B064E8"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cs="Arial"/>
        </w:rPr>
      </w:pPr>
      <w:r w:rsidRPr="004B589B">
        <w:rPr>
          <w:rFonts w:cs="Arial"/>
        </w:rPr>
        <w:t>Die Aufgabenteilung zwischen Kanton und Gemeinden bei der Prüfung der Einbürgerungsvoraussetzungen wird neu im Gesetz veranker</w:t>
      </w:r>
      <w:r w:rsidR="003A3BA3">
        <w:rPr>
          <w:rFonts w:cs="Arial"/>
        </w:rPr>
        <w:t>t</w:t>
      </w:r>
      <w:r w:rsidR="00FC7EA4">
        <w:rPr>
          <w:rFonts w:cs="Arial"/>
        </w:rPr>
        <w:t>. Da sich die geltende Aufgabenaufteilung</w:t>
      </w:r>
      <w:r w:rsidR="005A67FF">
        <w:rPr>
          <w:rFonts w:cs="Arial"/>
        </w:rPr>
        <w:t xml:space="preserve"> </w:t>
      </w:r>
      <w:r w:rsidR="00B064E8">
        <w:rPr>
          <w:rFonts w:cs="Arial"/>
        </w:rPr>
        <w:t xml:space="preserve">(§§ 14 f. </w:t>
      </w:r>
      <w:proofErr w:type="spellStart"/>
      <w:r w:rsidR="00B064E8">
        <w:rPr>
          <w:rFonts w:cs="Arial"/>
        </w:rPr>
        <w:t>KBüV</w:t>
      </w:r>
      <w:proofErr w:type="spellEnd"/>
      <w:r w:rsidR="00B064E8">
        <w:rPr>
          <w:rFonts w:cs="Arial"/>
        </w:rPr>
        <w:t>)</w:t>
      </w:r>
      <w:r w:rsidR="00B064E8" w:rsidRPr="004B589B">
        <w:rPr>
          <w:rFonts w:cs="Arial"/>
        </w:rPr>
        <w:t xml:space="preserve"> </w:t>
      </w:r>
      <w:r w:rsidR="005A67FF">
        <w:rPr>
          <w:rFonts w:cs="Arial"/>
        </w:rPr>
        <w:t>bewährt</w:t>
      </w:r>
      <w:r w:rsidR="00B064E8">
        <w:rPr>
          <w:rFonts w:cs="Arial"/>
        </w:rPr>
        <w:t xml:space="preserve"> hat,</w:t>
      </w:r>
      <w:r w:rsidR="005A67FF">
        <w:rPr>
          <w:rFonts w:cs="Arial"/>
        </w:rPr>
        <w:t xml:space="preserve"> </w:t>
      </w:r>
      <w:r w:rsidRPr="004B589B">
        <w:rPr>
          <w:rFonts w:cs="Arial"/>
        </w:rPr>
        <w:t>wird diese</w:t>
      </w:r>
      <w:r w:rsidR="00FC7EA4">
        <w:rPr>
          <w:rFonts w:cs="Arial"/>
        </w:rPr>
        <w:t xml:space="preserve"> weitgehend</w:t>
      </w:r>
      <w:r w:rsidRPr="004B589B">
        <w:rPr>
          <w:rFonts w:cs="Arial"/>
        </w:rPr>
        <w:t xml:space="preserve"> unverändert in das Gesetz übernommen. </w:t>
      </w:r>
    </w:p>
    <w:p w:rsidR="005432B0" w:rsidRPr="004B589B" w:rsidRDefault="00B064E8"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cs="Arial"/>
        </w:rPr>
      </w:pPr>
      <w:r w:rsidRPr="00B064E8">
        <w:rPr>
          <w:rFonts w:cs="Arial"/>
        </w:rPr>
        <w:t xml:space="preserve">Eine Ausnahme bildet das Kriterium "Erfüllung von </w:t>
      </w:r>
      <w:r w:rsidR="003A3BA3" w:rsidRPr="00B064E8">
        <w:rPr>
          <w:rFonts w:cs="Arial"/>
        </w:rPr>
        <w:t xml:space="preserve">öffentlich-rechtlichen und </w:t>
      </w:r>
      <w:r w:rsidRPr="00B064E8">
        <w:rPr>
          <w:rFonts w:cs="Arial"/>
        </w:rPr>
        <w:t>privatrechtlichen</w:t>
      </w:r>
      <w:r w:rsidR="003A3BA3" w:rsidRPr="00B064E8">
        <w:rPr>
          <w:rFonts w:cs="Arial"/>
        </w:rPr>
        <w:t xml:space="preserve"> </w:t>
      </w:r>
      <w:r w:rsidRPr="00B064E8">
        <w:rPr>
          <w:rFonts w:cs="Arial"/>
        </w:rPr>
        <w:t>Verpflichtungen</w:t>
      </w:r>
      <w:r w:rsidR="00525967">
        <w:rPr>
          <w:rFonts w:cs="Arial"/>
        </w:rPr>
        <w:t>"</w:t>
      </w:r>
      <w:r>
        <w:rPr>
          <w:rFonts w:cs="Arial"/>
        </w:rPr>
        <w:t>, das neu vom Kanton geprüft</w:t>
      </w:r>
      <w:r w:rsidR="00783BA9">
        <w:rPr>
          <w:rFonts w:cs="Arial"/>
        </w:rPr>
        <w:t xml:space="preserve"> werden soll</w:t>
      </w:r>
      <w:r w:rsidR="001278B3">
        <w:rPr>
          <w:rFonts w:cs="Arial"/>
        </w:rPr>
        <w:t xml:space="preserve">, da es sich um eine Registerabfrage handelt </w:t>
      </w:r>
      <w:r w:rsidRPr="00B064E8">
        <w:rPr>
          <w:rFonts w:cs="Arial"/>
        </w:rPr>
        <w:t xml:space="preserve">(§ 13 Abs. 1 </w:t>
      </w:r>
      <w:proofErr w:type="spellStart"/>
      <w:r w:rsidRPr="00B064E8">
        <w:rPr>
          <w:rFonts w:cs="Arial"/>
        </w:rPr>
        <w:t>lit</w:t>
      </w:r>
      <w:proofErr w:type="spellEnd"/>
      <w:r w:rsidRPr="00B064E8">
        <w:rPr>
          <w:rFonts w:cs="Arial"/>
        </w:rPr>
        <w:t>. d E-</w:t>
      </w:r>
      <w:proofErr w:type="spellStart"/>
      <w:r w:rsidRPr="00B064E8">
        <w:rPr>
          <w:rFonts w:cs="Arial"/>
        </w:rPr>
        <w:t>KBüG</w:t>
      </w:r>
      <w:proofErr w:type="spellEnd"/>
      <w:r w:rsidR="00783BA9">
        <w:rPr>
          <w:rFonts w:cs="Arial"/>
        </w:rPr>
        <w:t>).</w:t>
      </w:r>
      <w:r w:rsidR="001278B3">
        <w:rPr>
          <w:rFonts w:cs="Arial"/>
        </w:rPr>
        <w:t xml:space="preserve"> </w:t>
      </w:r>
      <w:r w:rsidR="003A3BA3" w:rsidRPr="00B064E8">
        <w:rPr>
          <w:rFonts w:cs="Arial"/>
        </w:rPr>
        <w:t>D</w:t>
      </w:r>
      <w:r w:rsidRPr="00B064E8">
        <w:rPr>
          <w:rFonts w:cs="Arial"/>
        </w:rPr>
        <w:t xml:space="preserve">abei wird in </w:t>
      </w:r>
      <w:r w:rsidR="00783BA9" w:rsidRPr="00B064E8">
        <w:rPr>
          <w:rFonts w:cs="Arial"/>
        </w:rPr>
        <w:t>erster</w:t>
      </w:r>
      <w:r w:rsidR="00783BA9">
        <w:rPr>
          <w:rFonts w:cs="Arial"/>
        </w:rPr>
        <w:t xml:space="preserve"> Linie</w:t>
      </w:r>
      <w:r w:rsidRPr="00B064E8">
        <w:rPr>
          <w:rFonts w:cs="Arial"/>
        </w:rPr>
        <w:t xml:space="preserve"> </w:t>
      </w:r>
      <w:r w:rsidR="00231892">
        <w:rPr>
          <w:rFonts w:cs="Arial"/>
        </w:rPr>
        <w:t>der finanzielle Leumund überprüft.</w:t>
      </w:r>
      <w:r w:rsidR="001E6BC4">
        <w:rPr>
          <w:rFonts w:cs="Arial"/>
        </w:rPr>
        <w:t xml:space="preserve"> Konkret</w:t>
      </w:r>
      <w:r w:rsidR="00231892">
        <w:rPr>
          <w:rFonts w:cs="Arial"/>
        </w:rPr>
        <w:t xml:space="preserve"> geht es darum, </w:t>
      </w:r>
      <w:r w:rsidR="003A3BA3" w:rsidRPr="00B064E8">
        <w:rPr>
          <w:rFonts w:cs="Arial"/>
        </w:rPr>
        <w:t>ob</w:t>
      </w:r>
      <w:r w:rsidR="003A3BA3">
        <w:rPr>
          <w:rFonts w:cs="Arial"/>
        </w:rPr>
        <w:t xml:space="preserve"> in </w:t>
      </w:r>
      <w:r w:rsidR="00783BA9">
        <w:rPr>
          <w:rFonts w:cs="Arial"/>
        </w:rPr>
        <w:t>einem bestimmten</w:t>
      </w:r>
      <w:r w:rsidR="003A3BA3">
        <w:rPr>
          <w:rFonts w:cs="Arial"/>
        </w:rPr>
        <w:t xml:space="preserve"> </w:t>
      </w:r>
      <w:r w:rsidR="00783BA9">
        <w:rPr>
          <w:rFonts w:cs="Arial"/>
        </w:rPr>
        <w:t xml:space="preserve">Zeitraum </w:t>
      </w:r>
      <w:r w:rsidR="003A3BA3">
        <w:rPr>
          <w:rFonts w:cs="Arial"/>
        </w:rPr>
        <w:t>Einträge</w:t>
      </w:r>
      <w:r w:rsidR="00783BA9">
        <w:rPr>
          <w:rFonts w:cs="Arial"/>
        </w:rPr>
        <w:t xml:space="preserve"> im</w:t>
      </w:r>
      <w:r w:rsidR="003A3BA3">
        <w:rPr>
          <w:rFonts w:cs="Arial"/>
        </w:rPr>
        <w:t xml:space="preserve"> Betreibun</w:t>
      </w:r>
      <w:r>
        <w:rPr>
          <w:rFonts w:cs="Arial"/>
        </w:rPr>
        <w:t xml:space="preserve">gsregister </w:t>
      </w:r>
      <w:r w:rsidR="00494B9E">
        <w:rPr>
          <w:rFonts w:cs="Arial"/>
        </w:rPr>
        <w:t>erfolgt sind oder</w:t>
      </w:r>
      <w:r w:rsidR="00783BA9">
        <w:rPr>
          <w:rFonts w:cs="Arial"/>
        </w:rPr>
        <w:t xml:space="preserve"> Steuerschulden</w:t>
      </w:r>
      <w:r>
        <w:rPr>
          <w:rFonts w:cs="Arial"/>
        </w:rPr>
        <w:t xml:space="preserve"> </w:t>
      </w:r>
      <w:r w:rsidR="00783BA9">
        <w:rPr>
          <w:rFonts w:cs="Arial"/>
        </w:rPr>
        <w:t>aus definitiven Schlussrechnungen bestehen.</w:t>
      </w:r>
      <w:r w:rsidR="003A3BA3">
        <w:rPr>
          <w:rFonts w:cs="Arial"/>
        </w:rPr>
        <w:t xml:space="preserve"> </w:t>
      </w:r>
    </w:p>
    <w:p w:rsidR="005432B0" w:rsidRPr="004B589B" w:rsidRDefault="00783BA9"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pPr>
      <w:r>
        <w:lastRenderedPageBreak/>
        <w:t>Die Aufteilung der Aufgaben</w:t>
      </w:r>
      <w:r w:rsidR="005432B0" w:rsidRPr="004B589B">
        <w:t xml:space="preserve"> geht vom Grundsatz aus</w:t>
      </w:r>
      <w:r w:rsidR="005432B0">
        <w:t>, dass eine Einbürgerungsvoraus</w:t>
      </w:r>
      <w:r w:rsidR="005432B0" w:rsidRPr="004B589B">
        <w:t xml:space="preserve">setzung entweder vom Kanton oder von der Gemeinde geprüft wird, </w:t>
      </w:r>
      <w:r w:rsidR="004541FA">
        <w:t>nicht jedoch von beiden</w:t>
      </w:r>
      <w:r w:rsidR="005432B0" w:rsidRPr="004B589B">
        <w:t xml:space="preserve">. Damit können </w:t>
      </w:r>
      <w:proofErr w:type="spellStart"/>
      <w:r w:rsidR="005432B0" w:rsidRPr="004B589B">
        <w:t>Doppelspurigkeiten</w:t>
      </w:r>
      <w:proofErr w:type="spellEnd"/>
      <w:r w:rsidR="005432B0" w:rsidRPr="004B589B">
        <w:t xml:space="preserve"> verhindert sowie Aufgaben und Verantwortlichkeiten klar zugewiesen werden</w:t>
      </w:r>
      <w:r>
        <w:t>.</w:t>
      </w:r>
    </w:p>
    <w:p w:rsidR="005432B0" w:rsidRPr="004B589B" w:rsidRDefault="005432B0" w:rsidP="005432B0">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line="240" w:lineRule="atLeast"/>
        <w:rPr>
          <w:rFonts w:cs="Arial"/>
        </w:rPr>
      </w:pPr>
      <w:r w:rsidRPr="004B589B">
        <w:rPr>
          <w:rFonts w:cs="Arial"/>
        </w:rPr>
        <w:t>Die Kompetenzaufteilung sieht vor, dass der Kanton alle Voraussetzungen prüft, die anhand von Registern geklärt werden können (</w:t>
      </w:r>
      <w:r w:rsidR="005159CC">
        <w:rPr>
          <w:rFonts w:cs="Arial"/>
        </w:rPr>
        <w:t xml:space="preserve">Strafregister </w:t>
      </w:r>
      <w:r w:rsidRPr="004B589B">
        <w:rPr>
          <w:rFonts w:cs="Arial"/>
        </w:rPr>
        <w:t>V</w:t>
      </w:r>
      <w:r w:rsidR="001E6BC4">
        <w:rPr>
          <w:rFonts w:cs="Arial"/>
        </w:rPr>
        <w:t>OSTRA, ZEMIS</w:t>
      </w:r>
      <w:r w:rsidR="00A07CAD">
        <w:rPr>
          <w:rStyle w:val="Funotenzeichen"/>
          <w:rFonts w:cs="Arial"/>
        </w:rPr>
        <w:footnoteReference w:id="43"/>
      </w:r>
      <w:r w:rsidR="001E6BC4">
        <w:rPr>
          <w:rFonts w:cs="Arial"/>
        </w:rPr>
        <w:t>, KEP</w:t>
      </w:r>
      <w:r w:rsidR="005159CC">
        <w:rPr>
          <w:rStyle w:val="Funotenzeichen"/>
          <w:rFonts w:cs="Arial"/>
        </w:rPr>
        <w:footnoteReference w:id="44"/>
      </w:r>
      <w:r w:rsidRPr="004B589B">
        <w:rPr>
          <w:rFonts w:cs="Arial"/>
        </w:rPr>
        <w:t>, Betreibungsregister), währ</w:t>
      </w:r>
      <w:r w:rsidR="005A67FF">
        <w:rPr>
          <w:rFonts w:cs="Arial"/>
        </w:rPr>
        <w:t xml:space="preserve">end die Gemeinden die </w:t>
      </w:r>
      <w:r w:rsidRPr="004B589B">
        <w:rPr>
          <w:rFonts w:cs="Arial"/>
        </w:rPr>
        <w:t>Integrationskriterien</w:t>
      </w:r>
      <w:r w:rsidR="005A67FF">
        <w:rPr>
          <w:rFonts w:cs="Arial"/>
        </w:rPr>
        <w:t xml:space="preserve"> mit Ermessens</w:t>
      </w:r>
      <w:r w:rsidR="00525967">
        <w:rPr>
          <w:rFonts w:cs="Arial"/>
        </w:rPr>
        <w:t>s</w:t>
      </w:r>
      <w:r w:rsidR="005A67FF">
        <w:rPr>
          <w:rFonts w:cs="Arial"/>
        </w:rPr>
        <w:t>pielraum</w:t>
      </w:r>
      <w:r w:rsidRPr="004B589B">
        <w:rPr>
          <w:rFonts w:cs="Arial"/>
        </w:rPr>
        <w:t xml:space="preserve"> prüfen, was in der Regel einen direkten Kontakt zur Bewerberin oder zum Bewerber voraussetzt.</w:t>
      </w:r>
    </w:p>
    <w:p w:rsidR="005432B0" w:rsidRDefault="005432B0" w:rsidP="005432B0">
      <w:pPr>
        <w:tabs>
          <w:tab w:val="clear" w:pos="397"/>
          <w:tab w:val="left" w:pos="284"/>
        </w:tabs>
      </w:pPr>
      <w:r>
        <w:t>D</w:t>
      </w:r>
      <w:r w:rsidRPr="005B3909">
        <w:t xml:space="preserve">ie </w:t>
      </w:r>
      <w:r w:rsidRPr="006C4E33">
        <w:rPr>
          <w:b/>
        </w:rPr>
        <w:t>kantonale Behörde</w:t>
      </w:r>
      <w:r>
        <w:t xml:space="preserve"> (Gemeindeamt) </w:t>
      </w:r>
      <w:r w:rsidRPr="005B3909">
        <w:t>prüft und entscheidet</w:t>
      </w:r>
      <w:r>
        <w:t xml:space="preserve"> gemäss § 13 E-</w:t>
      </w:r>
      <w:proofErr w:type="spellStart"/>
      <w:r>
        <w:t>KBüG</w:t>
      </w:r>
      <w:proofErr w:type="spellEnd"/>
      <w:r>
        <w:t xml:space="preserve"> </w:t>
      </w:r>
      <w:r w:rsidRPr="005B3909">
        <w:t>abschliessen</w:t>
      </w:r>
      <w:r>
        <w:t>d, ob die Bewerberin oder der Bewerber</w:t>
      </w:r>
      <w:r w:rsidRPr="005B3909">
        <w:t xml:space="preserve"> </w:t>
      </w:r>
      <w:r>
        <w:br/>
        <w:t xml:space="preserve">- </w:t>
      </w:r>
      <w:r>
        <w:tab/>
      </w:r>
      <w:r w:rsidRPr="005B3909">
        <w:t>die</w:t>
      </w:r>
      <w:r>
        <w:t xml:space="preserve"> Niederlassungsbewilligung besitzt, </w:t>
      </w:r>
      <w:r>
        <w:br/>
        <w:t xml:space="preserve">- </w:t>
      </w:r>
      <w:r>
        <w:tab/>
        <w:t>die Anforderungen des Bundes und des Kantons an den Aufenthalt erfüllt,</w:t>
      </w:r>
      <w:r>
        <w:br/>
        <w:t xml:space="preserve">- </w:t>
      </w:r>
      <w:r>
        <w:tab/>
        <w:t>gesetzliche Vorschriften oder behördliche Verfügungen nicht missachtet,</w:t>
      </w:r>
    </w:p>
    <w:p w:rsidR="005432B0" w:rsidRDefault="005432B0" w:rsidP="005432B0">
      <w:pPr>
        <w:tabs>
          <w:tab w:val="clear" w:pos="397"/>
          <w:tab w:val="left" w:pos="284"/>
        </w:tabs>
        <w:spacing w:before="0"/>
      </w:pPr>
      <w:r>
        <w:t>-</w:t>
      </w:r>
      <w:r>
        <w:tab/>
      </w:r>
      <w:r w:rsidRPr="004B589B">
        <w:rPr>
          <w:rFonts w:cs="Arial"/>
        </w:rPr>
        <w:t>öffentlich-rechtliche oder privatrechtliche Verpflichtungen erfüllt</w:t>
      </w:r>
      <w:r>
        <w:rPr>
          <w:rFonts w:cs="Arial"/>
        </w:rPr>
        <w:t>,</w:t>
      </w:r>
      <w:r>
        <w:br/>
        <w:t xml:space="preserve">- </w:t>
      </w:r>
      <w:r>
        <w:tab/>
        <w:t>die Strafrechtsordnung beachtet,</w:t>
      </w:r>
      <w:r>
        <w:br/>
      </w:r>
      <w:r>
        <w:rPr>
          <w:rFonts w:cs="Arial"/>
          <w:sz w:val="20"/>
          <w:szCs w:val="20"/>
        </w:rPr>
        <w:t>-</w:t>
      </w:r>
      <w:r>
        <w:rPr>
          <w:rFonts w:cs="Arial"/>
          <w:sz w:val="20"/>
          <w:szCs w:val="20"/>
        </w:rPr>
        <w:tab/>
      </w:r>
      <w:r>
        <w:t>die Unterlagen vollständig eingereicht sind.</w:t>
      </w:r>
    </w:p>
    <w:p w:rsidR="005432B0" w:rsidRPr="006C4E33" w:rsidRDefault="005432B0" w:rsidP="003A31EE">
      <w:pPr>
        <w:tabs>
          <w:tab w:val="clear" w:pos="397"/>
          <w:tab w:val="left" w:pos="284"/>
        </w:tabs>
        <w:rPr>
          <w:rFonts w:asciiTheme="minorHAnsi" w:hAnsiTheme="minorHAnsi" w:cstheme="minorHAnsi"/>
        </w:rPr>
      </w:pPr>
      <w:r>
        <w:t xml:space="preserve">Die </w:t>
      </w:r>
      <w:r w:rsidRPr="006C4E33">
        <w:rPr>
          <w:b/>
        </w:rPr>
        <w:t>Gemeinde</w:t>
      </w:r>
      <w:r>
        <w:t xml:space="preserve"> prüft und entscheidet gemäss § 14 E-</w:t>
      </w:r>
      <w:proofErr w:type="spellStart"/>
      <w:r>
        <w:t>KBüG</w:t>
      </w:r>
      <w:proofErr w:type="spellEnd"/>
      <w:r>
        <w:t xml:space="preserve"> abschliessend, ob die Bewerberin oder der Bewerber</w:t>
      </w:r>
      <w:r>
        <w:br/>
        <w:t xml:space="preserve">- </w:t>
      </w:r>
      <w:r>
        <w:tab/>
      </w:r>
      <w:r w:rsidRPr="006C4E33">
        <w:rPr>
          <w:rFonts w:asciiTheme="minorHAnsi" w:hAnsiTheme="minorHAnsi" w:cstheme="minorHAnsi"/>
        </w:rPr>
        <w:t xml:space="preserve">über Grundkenntnisse der geografischen, historischen, politischen und gesellschaftlichen </w:t>
      </w:r>
      <w:r>
        <w:rPr>
          <w:rFonts w:asciiTheme="minorHAnsi" w:hAnsiTheme="minorHAnsi" w:cstheme="minorHAnsi"/>
        </w:rPr>
        <w:tab/>
      </w:r>
      <w:r w:rsidRPr="006C4E33">
        <w:rPr>
          <w:rFonts w:asciiTheme="minorHAnsi" w:hAnsiTheme="minorHAnsi" w:cstheme="minorHAnsi"/>
        </w:rPr>
        <w:t>Verhältnisse in d</w:t>
      </w:r>
      <w:r w:rsidR="00802E70">
        <w:rPr>
          <w:rFonts w:asciiTheme="minorHAnsi" w:hAnsiTheme="minorHAnsi" w:cstheme="minorHAnsi"/>
        </w:rPr>
        <w:t>er Schweiz, im Kanton und in den Zürcher</w:t>
      </w:r>
      <w:r w:rsidRPr="006C4E33">
        <w:rPr>
          <w:rFonts w:asciiTheme="minorHAnsi" w:hAnsiTheme="minorHAnsi" w:cstheme="minorHAnsi"/>
        </w:rPr>
        <w:t xml:space="preserve"> Gemeinde</w:t>
      </w:r>
      <w:r w:rsidR="00802E70">
        <w:rPr>
          <w:rFonts w:asciiTheme="minorHAnsi" w:hAnsiTheme="minorHAnsi" w:cstheme="minorHAnsi"/>
        </w:rPr>
        <w:t>n</w:t>
      </w:r>
      <w:r w:rsidRPr="006C4E33">
        <w:rPr>
          <w:rFonts w:asciiTheme="minorHAnsi" w:hAnsiTheme="minorHAnsi" w:cstheme="minorHAnsi"/>
        </w:rPr>
        <w:t xml:space="preserve"> verfügt</w:t>
      </w:r>
      <w:r>
        <w:rPr>
          <w:rFonts w:asciiTheme="minorHAnsi" w:hAnsiTheme="minorHAnsi" w:cstheme="minorHAnsi"/>
        </w:rPr>
        <w:t>,</w:t>
      </w:r>
      <w:r>
        <w:rPr>
          <w:rFonts w:asciiTheme="minorHAnsi" w:hAnsiTheme="minorHAnsi" w:cstheme="minorHAnsi"/>
        </w:rPr>
        <w:br/>
      </w:r>
      <w:r w:rsidRPr="006C4E33">
        <w:rPr>
          <w:rFonts w:asciiTheme="minorHAnsi" w:hAnsiTheme="minorHAnsi" w:cstheme="minorHAnsi"/>
        </w:rPr>
        <w:t xml:space="preserve">- </w:t>
      </w:r>
      <w:r>
        <w:rPr>
          <w:rFonts w:asciiTheme="minorHAnsi" w:hAnsiTheme="minorHAnsi" w:cstheme="minorHAnsi"/>
        </w:rPr>
        <w:tab/>
      </w:r>
      <w:r w:rsidRPr="006C4E33">
        <w:rPr>
          <w:rFonts w:asciiTheme="minorHAnsi" w:hAnsiTheme="minorHAnsi" w:cstheme="minorHAnsi"/>
        </w:rPr>
        <w:t>am sozialen und kulturellen Leben der Gesellschaft</w:t>
      </w:r>
      <w:r>
        <w:rPr>
          <w:rFonts w:asciiTheme="minorHAnsi" w:hAnsiTheme="minorHAnsi" w:cstheme="minorHAnsi"/>
        </w:rPr>
        <w:t xml:space="preserve"> in der Schweiz</w:t>
      </w:r>
      <w:r w:rsidRPr="006C4E33">
        <w:rPr>
          <w:rFonts w:asciiTheme="minorHAnsi" w:hAnsiTheme="minorHAnsi" w:cstheme="minorHAnsi"/>
        </w:rPr>
        <w:t xml:space="preserve"> teilnimmt</w:t>
      </w:r>
      <w:r>
        <w:rPr>
          <w:rFonts w:asciiTheme="minorHAnsi" w:hAnsiTheme="minorHAnsi" w:cstheme="minorHAnsi"/>
        </w:rPr>
        <w:t>,</w:t>
      </w:r>
      <w:r>
        <w:rPr>
          <w:rFonts w:asciiTheme="minorHAnsi" w:hAnsiTheme="minorHAnsi" w:cstheme="minorHAnsi"/>
        </w:rPr>
        <w:br/>
      </w:r>
      <w:r w:rsidRPr="006C4E33">
        <w:rPr>
          <w:rFonts w:asciiTheme="minorHAnsi" w:hAnsiTheme="minorHAnsi" w:cstheme="minorHAnsi"/>
        </w:rPr>
        <w:t xml:space="preserve">- </w:t>
      </w:r>
      <w:r>
        <w:rPr>
          <w:rFonts w:asciiTheme="minorHAnsi" w:hAnsiTheme="minorHAnsi" w:cstheme="minorHAnsi"/>
        </w:rPr>
        <w:tab/>
      </w:r>
      <w:r w:rsidRPr="006C4E33">
        <w:rPr>
          <w:rFonts w:asciiTheme="minorHAnsi" w:hAnsiTheme="minorHAnsi" w:cstheme="minorHAnsi"/>
        </w:rPr>
        <w:t>Kontakte zu Schweizerinnen und Schweizern pflegt</w:t>
      </w:r>
      <w:r>
        <w:rPr>
          <w:rFonts w:asciiTheme="minorHAnsi" w:hAnsiTheme="minorHAnsi" w:cstheme="minorHAnsi"/>
        </w:rPr>
        <w:t>,</w:t>
      </w:r>
    </w:p>
    <w:tbl>
      <w:tblPr>
        <w:tblStyle w:val="Tabellenraster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5432B0" w:rsidRPr="006C4E33" w:rsidTr="00F0230D">
        <w:tc>
          <w:tcPr>
            <w:tcW w:w="8613" w:type="dxa"/>
          </w:tcPr>
          <w:p w:rsidR="005432B0" w:rsidRPr="006C4E33" w:rsidRDefault="005432B0" w:rsidP="005A67FF">
            <w:pPr>
              <w:tabs>
                <w:tab w:val="clear" w:pos="397"/>
                <w:tab w:val="left" w:pos="179"/>
              </w:tabs>
              <w:spacing w:before="0"/>
              <w:ind w:left="-10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C4E33">
              <w:rPr>
                <w:rFonts w:asciiTheme="minorHAnsi" w:hAnsiTheme="minorHAnsi" w:cstheme="minorHAnsi"/>
                <w:sz w:val="22"/>
                <w:szCs w:val="22"/>
              </w:rPr>
              <w:t>die Werte der Bundesverf</w:t>
            </w:r>
            <w:r>
              <w:rPr>
                <w:rFonts w:asciiTheme="minorHAnsi" w:hAnsiTheme="minorHAnsi" w:cstheme="minorHAnsi"/>
                <w:sz w:val="22"/>
                <w:szCs w:val="22"/>
              </w:rPr>
              <w:t>assung respektiert,</w:t>
            </w:r>
            <w:r w:rsidRPr="006C4E33">
              <w:rPr>
                <w:rFonts w:asciiTheme="minorHAnsi" w:hAnsiTheme="minorHAnsi" w:cstheme="minorHAnsi"/>
                <w:sz w:val="22"/>
                <w:szCs w:val="22"/>
              </w:rPr>
              <w:t xml:space="preserve"> </w:t>
            </w:r>
          </w:p>
        </w:tc>
      </w:tr>
      <w:tr w:rsidR="005432B0" w:rsidRPr="006C4E33" w:rsidTr="00F0230D">
        <w:tc>
          <w:tcPr>
            <w:tcW w:w="8613" w:type="dxa"/>
          </w:tcPr>
          <w:p w:rsidR="005432B0" w:rsidRPr="006C4E33" w:rsidRDefault="005432B0" w:rsidP="005A67FF">
            <w:pPr>
              <w:tabs>
                <w:tab w:val="clear" w:pos="397"/>
                <w:tab w:val="left" w:pos="179"/>
              </w:tabs>
              <w:spacing w:before="0"/>
              <w:ind w:left="-10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C4E33">
              <w:rPr>
                <w:rFonts w:asciiTheme="minorHAnsi" w:hAnsiTheme="minorHAnsi" w:cstheme="minorHAnsi"/>
                <w:sz w:val="22"/>
                <w:szCs w:val="22"/>
              </w:rPr>
              <w:t>ü</w:t>
            </w:r>
            <w:r w:rsidR="00802E70">
              <w:rPr>
                <w:rFonts w:asciiTheme="minorHAnsi" w:hAnsiTheme="minorHAnsi" w:cstheme="minorHAnsi"/>
                <w:sz w:val="22"/>
                <w:szCs w:val="22"/>
              </w:rPr>
              <w:t xml:space="preserve">ber Deutschkenntnisse </w:t>
            </w:r>
            <w:r w:rsidRPr="006C4E33">
              <w:rPr>
                <w:rFonts w:asciiTheme="minorHAnsi" w:hAnsiTheme="minorHAnsi" w:cstheme="minorHAnsi"/>
                <w:sz w:val="22"/>
                <w:szCs w:val="22"/>
              </w:rPr>
              <w:t>verfügt,</w:t>
            </w:r>
          </w:p>
        </w:tc>
      </w:tr>
      <w:tr w:rsidR="005432B0" w:rsidRPr="006C4E33" w:rsidTr="00F0230D">
        <w:tc>
          <w:tcPr>
            <w:tcW w:w="8613" w:type="dxa"/>
          </w:tcPr>
          <w:p w:rsidR="005432B0" w:rsidRPr="006C4E33" w:rsidRDefault="005432B0" w:rsidP="005A67FF">
            <w:pPr>
              <w:tabs>
                <w:tab w:val="clear" w:pos="397"/>
                <w:tab w:val="left" w:pos="179"/>
              </w:tabs>
              <w:spacing w:before="0"/>
              <w:ind w:left="-10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C4E33">
              <w:rPr>
                <w:rFonts w:asciiTheme="minorHAnsi" w:hAnsiTheme="minorHAnsi" w:cstheme="minorHAnsi"/>
                <w:sz w:val="22"/>
                <w:szCs w:val="22"/>
              </w:rPr>
              <w:t>am Wirtschaftsleben oder am Erwerb von</w:t>
            </w:r>
            <w:r>
              <w:rPr>
                <w:rFonts w:asciiTheme="minorHAnsi" w:hAnsiTheme="minorHAnsi" w:cstheme="minorHAnsi"/>
                <w:sz w:val="22"/>
                <w:szCs w:val="22"/>
              </w:rPr>
              <w:t xml:space="preserve"> Bildung teilnimmt,</w:t>
            </w:r>
          </w:p>
        </w:tc>
      </w:tr>
      <w:tr w:rsidR="005432B0" w:rsidRPr="006C4E33" w:rsidTr="00F0230D">
        <w:tc>
          <w:tcPr>
            <w:tcW w:w="8613" w:type="dxa"/>
          </w:tcPr>
          <w:p w:rsidR="005432B0" w:rsidRPr="006C4E33" w:rsidRDefault="005432B0" w:rsidP="005A67FF">
            <w:pPr>
              <w:tabs>
                <w:tab w:val="clear" w:pos="397"/>
                <w:tab w:val="left" w:pos="179"/>
              </w:tabs>
              <w:spacing w:before="0"/>
              <w:ind w:left="-10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6C4E33">
              <w:rPr>
                <w:rFonts w:asciiTheme="minorHAnsi" w:hAnsiTheme="minorHAnsi" w:cstheme="minorHAnsi"/>
                <w:sz w:val="22"/>
                <w:szCs w:val="22"/>
              </w:rPr>
              <w:t>die Integration von Familien</w:t>
            </w:r>
            <w:r>
              <w:rPr>
                <w:rFonts w:asciiTheme="minorHAnsi" w:hAnsiTheme="minorHAnsi" w:cstheme="minorHAnsi"/>
                <w:sz w:val="22"/>
                <w:szCs w:val="22"/>
              </w:rPr>
              <w:t>mitgliedern fördert</w:t>
            </w:r>
            <w:r w:rsidRPr="006C4E33">
              <w:rPr>
                <w:rFonts w:asciiTheme="minorHAnsi" w:hAnsiTheme="minorHAnsi" w:cstheme="minorHAnsi"/>
                <w:sz w:val="22"/>
                <w:szCs w:val="22"/>
              </w:rPr>
              <w:t>.</w:t>
            </w:r>
          </w:p>
        </w:tc>
      </w:tr>
    </w:tbl>
    <w:p w:rsidR="005432B0" w:rsidRDefault="005432B0" w:rsidP="005432B0">
      <w:pPr>
        <w:tabs>
          <w:tab w:val="clear" w:pos="397"/>
          <w:tab w:val="clear" w:pos="794"/>
          <w:tab w:val="clear" w:pos="1191"/>
          <w:tab w:val="clear" w:pos="4479"/>
          <w:tab w:val="clear" w:pos="4876"/>
          <w:tab w:val="clear" w:pos="5273"/>
          <w:tab w:val="clear" w:pos="5670"/>
          <w:tab w:val="clear" w:pos="6067"/>
          <w:tab w:val="left" w:pos="217"/>
          <w:tab w:val="left" w:pos="540"/>
        </w:tabs>
        <w:autoSpaceDE w:val="0"/>
        <w:autoSpaceDN w:val="0"/>
        <w:adjustRightInd w:val="0"/>
        <w:spacing w:before="0" w:line="240" w:lineRule="atLeast"/>
        <w:ind w:left="215" w:hanging="215"/>
        <w:rPr>
          <w:rFonts w:cs="Arial"/>
        </w:rPr>
      </w:pPr>
    </w:p>
    <w:p w:rsidR="005432B0" w:rsidRPr="00A87CF2" w:rsidRDefault="005432B0" w:rsidP="005432B0">
      <w:pPr>
        <w:tabs>
          <w:tab w:val="clear" w:pos="397"/>
          <w:tab w:val="clear" w:pos="794"/>
          <w:tab w:val="clear" w:pos="1191"/>
          <w:tab w:val="clear" w:pos="4479"/>
          <w:tab w:val="clear" w:pos="4876"/>
          <w:tab w:val="clear" w:pos="5273"/>
          <w:tab w:val="clear" w:pos="5670"/>
          <w:tab w:val="clear" w:pos="6067"/>
          <w:tab w:val="left" w:pos="540"/>
        </w:tabs>
        <w:autoSpaceDE w:val="0"/>
        <w:autoSpaceDN w:val="0"/>
        <w:adjustRightInd w:val="0"/>
        <w:spacing w:before="0" w:line="240" w:lineRule="atLeast"/>
        <w:rPr>
          <w:rFonts w:cs="Arial"/>
        </w:rPr>
      </w:pPr>
      <w:r w:rsidRPr="00A87CF2">
        <w:rPr>
          <w:rFonts w:cs="Arial"/>
        </w:rPr>
        <w:t xml:space="preserve">Das </w:t>
      </w:r>
      <w:r w:rsidRPr="00D10F73">
        <w:rPr>
          <w:rFonts w:cs="Arial"/>
          <w:b/>
        </w:rPr>
        <w:t>Einbürgerungsgespräch</w:t>
      </w:r>
      <w:r w:rsidRPr="00A87CF2">
        <w:rPr>
          <w:rFonts w:cs="Arial"/>
        </w:rPr>
        <w:t xml:space="preserve"> hat in de</w:t>
      </w:r>
      <w:r w:rsidR="003A31EE">
        <w:rPr>
          <w:rFonts w:cs="Arial"/>
        </w:rPr>
        <w:t>r Praxis eine grosse Bedeutung</w:t>
      </w:r>
      <w:r w:rsidR="00061576">
        <w:rPr>
          <w:rFonts w:cs="Arial"/>
        </w:rPr>
        <w:t>. Es si</w:t>
      </w:r>
      <w:r w:rsidR="00061576" w:rsidRPr="00061576">
        <w:rPr>
          <w:rFonts w:cs="Arial"/>
        </w:rPr>
        <w:t>che</w:t>
      </w:r>
      <w:r w:rsidR="00061576">
        <w:rPr>
          <w:rFonts w:cs="Arial"/>
        </w:rPr>
        <w:t>rt den persönlichen Kontakt zwi</w:t>
      </w:r>
      <w:r w:rsidR="00061576" w:rsidRPr="00061576">
        <w:rPr>
          <w:rFonts w:cs="Arial"/>
        </w:rPr>
        <w:t xml:space="preserve">schen den Einbürgerungswilligen und den Gemeinden in einem Verfahren, das sonst administrativ geprägt ist. </w:t>
      </w:r>
      <w:r w:rsidRPr="00A87CF2">
        <w:rPr>
          <w:rFonts w:cs="Arial"/>
        </w:rPr>
        <w:t>Zum Inhalt des Einbürgerungsgesprächs gehört die Prüfung bestimmter Integrationskriterien, die nicht über Tests oder Register erfasst werden. Es geht dab</w:t>
      </w:r>
      <w:r w:rsidR="00D85CEA">
        <w:rPr>
          <w:rFonts w:cs="Arial"/>
        </w:rPr>
        <w:t xml:space="preserve">ei um </w:t>
      </w:r>
      <w:r w:rsidRPr="00A87CF2">
        <w:rPr>
          <w:rFonts w:cs="Arial"/>
        </w:rPr>
        <w:t>Teilhabe an der Gesellschaft</w:t>
      </w:r>
      <w:r w:rsidR="00D85CEA">
        <w:rPr>
          <w:rFonts w:cs="Arial"/>
        </w:rPr>
        <w:t xml:space="preserve">, Kontakte zur Bevölkerung </w:t>
      </w:r>
      <w:r w:rsidRPr="00A87CF2">
        <w:rPr>
          <w:rFonts w:cs="Arial"/>
        </w:rPr>
        <w:t>und Verantwortung für die Integration von Familienmitgliedern.</w:t>
      </w:r>
    </w:p>
    <w:p w:rsidR="005432B0" w:rsidRDefault="005432B0" w:rsidP="005432B0">
      <w:pPr>
        <w:tabs>
          <w:tab w:val="clear" w:pos="397"/>
          <w:tab w:val="clear" w:pos="794"/>
          <w:tab w:val="clear" w:pos="1191"/>
          <w:tab w:val="clear" w:pos="4479"/>
          <w:tab w:val="clear" w:pos="4876"/>
          <w:tab w:val="clear" w:pos="5273"/>
          <w:tab w:val="clear" w:pos="5670"/>
          <w:tab w:val="clear" w:pos="6067"/>
          <w:tab w:val="left" w:pos="217"/>
          <w:tab w:val="left" w:pos="540"/>
        </w:tabs>
        <w:autoSpaceDE w:val="0"/>
        <w:autoSpaceDN w:val="0"/>
        <w:adjustRightInd w:val="0"/>
        <w:spacing w:before="0" w:line="240" w:lineRule="atLeast"/>
        <w:rPr>
          <w:rFonts w:cs="Arial"/>
        </w:rPr>
      </w:pPr>
    </w:p>
    <w:p w:rsidR="00FE6A27" w:rsidRPr="00B42A65" w:rsidRDefault="005432B0" w:rsidP="00B42A65">
      <w:pPr>
        <w:tabs>
          <w:tab w:val="clear" w:pos="397"/>
          <w:tab w:val="clear" w:pos="794"/>
          <w:tab w:val="clear" w:pos="1191"/>
          <w:tab w:val="clear" w:pos="4479"/>
          <w:tab w:val="clear" w:pos="4876"/>
          <w:tab w:val="clear" w:pos="5273"/>
          <w:tab w:val="clear" w:pos="5670"/>
          <w:tab w:val="clear" w:pos="6067"/>
          <w:tab w:val="left" w:pos="217"/>
          <w:tab w:val="left" w:pos="540"/>
        </w:tabs>
        <w:autoSpaceDE w:val="0"/>
        <w:autoSpaceDN w:val="0"/>
        <w:adjustRightInd w:val="0"/>
        <w:spacing w:before="0" w:line="240" w:lineRule="atLeast"/>
        <w:rPr>
          <w:rFonts w:cs="Arial"/>
        </w:rPr>
      </w:pPr>
      <w:r w:rsidRPr="00A87CF2">
        <w:rPr>
          <w:rFonts w:cs="Arial"/>
        </w:rPr>
        <w:t>Die G</w:t>
      </w:r>
      <w:r>
        <w:rPr>
          <w:rFonts w:cs="Arial"/>
        </w:rPr>
        <w:t>emeinden sollen auch ihre bishe</w:t>
      </w:r>
      <w:r w:rsidR="001278B3">
        <w:rPr>
          <w:rFonts w:cs="Arial"/>
        </w:rPr>
        <w:t xml:space="preserve">rige Praxis weiterführen </w:t>
      </w:r>
      <w:r w:rsidRPr="00A87CF2">
        <w:rPr>
          <w:rFonts w:cs="Arial"/>
        </w:rPr>
        <w:t>und bei Personen, bei denen aufgrund ihres Schulbesuches eine Vermutung für eine erfolgreiche Integration besteht, auf ein Gespräch verzichten könne</w:t>
      </w:r>
      <w:r>
        <w:rPr>
          <w:rFonts w:cs="Arial"/>
        </w:rPr>
        <w:t>n (§ 14 Abs. 3 E-</w:t>
      </w:r>
      <w:proofErr w:type="spellStart"/>
      <w:r>
        <w:rPr>
          <w:rFonts w:cs="Arial"/>
        </w:rPr>
        <w:t>KBüG</w:t>
      </w:r>
      <w:proofErr w:type="spellEnd"/>
      <w:r>
        <w:rPr>
          <w:rFonts w:cs="Arial"/>
        </w:rPr>
        <w:t>).</w:t>
      </w:r>
      <w:bookmarkStart w:id="18" w:name="_GoBack"/>
      <w:bookmarkEnd w:id="18"/>
    </w:p>
    <w:sectPr w:rsidR="00FE6A27" w:rsidRPr="00B42A65" w:rsidSect="00864154">
      <w:headerReference w:type="default" r:id="rId12"/>
      <w:headerReference w:type="first" r:id="rId13"/>
      <w:type w:val="oddPage"/>
      <w:pgSz w:w="11906" w:h="16838" w:code="9"/>
      <w:pgMar w:top="3062" w:right="936" w:bottom="1701" w:left="1985"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38" w:rsidRDefault="00385638" w:rsidP="00E52A57">
      <w:pPr>
        <w:spacing w:before="0"/>
      </w:pPr>
      <w:r>
        <w:separator/>
      </w:r>
    </w:p>
  </w:endnote>
  <w:endnote w:type="continuationSeparator" w:id="0">
    <w:p w:rsidR="00385638" w:rsidRDefault="00385638"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38" w:rsidRDefault="00385638">
    <w:pPr>
      <w:pStyle w:val="Fuzeile"/>
      <w:jc w:val="right"/>
    </w:pPr>
  </w:p>
  <w:p w:rsidR="00385638" w:rsidRDefault="00385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38" w:rsidRDefault="00385638" w:rsidP="00E52A57">
      <w:pPr>
        <w:spacing w:before="0"/>
      </w:pPr>
      <w:r>
        <w:separator/>
      </w:r>
    </w:p>
  </w:footnote>
  <w:footnote w:type="continuationSeparator" w:id="0">
    <w:p w:rsidR="00385638" w:rsidRDefault="00385638" w:rsidP="00E52A57">
      <w:pPr>
        <w:spacing w:before="0"/>
      </w:pPr>
      <w:r>
        <w:continuationSeparator/>
      </w:r>
    </w:p>
  </w:footnote>
  <w:footnote w:id="1">
    <w:p w:rsidR="00385638" w:rsidRPr="00F84840" w:rsidRDefault="00385638" w:rsidP="00307B80">
      <w:pPr>
        <w:pStyle w:val="Funotentext"/>
      </w:pPr>
      <w:r w:rsidRPr="00F84840">
        <w:rPr>
          <w:rStyle w:val="Funotenzeichen"/>
          <w:rFonts w:eastAsiaTheme="majorEastAsia"/>
        </w:rPr>
        <w:footnoteRef/>
      </w:r>
      <w:r w:rsidRPr="00F84840">
        <w:t xml:space="preserve"> Tobias </w:t>
      </w:r>
      <w:proofErr w:type="spellStart"/>
      <w:r w:rsidRPr="00F84840">
        <w:t>Jaag</w:t>
      </w:r>
      <w:proofErr w:type="spellEnd"/>
      <w:r w:rsidRPr="00F84840">
        <w:t xml:space="preserve">, Aktuelle Entwicklungen im Einbürgerungsrecht, in: </w:t>
      </w:r>
      <w:proofErr w:type="spellStart"/>
      <w:r w:rsidRPr="00F84840">
        <w:t>ZBl</w:t>
      </w:r>
      <w:proofErr w:type="spellEnd"/>
      <w:r w:rsidRPr="00F84840">
        <w:t xml:space="preserve"> 2005, S. 114.</w:t>
      </w:r>
    </w:p>
  </w:footnote>
  <w:footnote w:id="2">
    <w:p w:rsidR="00385638" w:rsidRDefault="00385638">
      <w:pPr>
        <w:pStyle w:val="Funotentext"/>
      </w:pPr>
      <w:r>
        <w:rPr>
          <w:rStyle w:val="Funotenzeichen"/>
        </w:rPr>
        <w:footnoteRef/>
      </w:r>
      <w:r>
        <w:t xml:space="preserve"> Pierre </w:t>
      </w:r>
      <w:proofErr w:type="spellStart"/>
      <w:r>
        <w:t>Tschannen</w:t>
      </w:r>
      <w:proofErr w:type="spellEnd"/>
      <w:r>
        <w:t xml:space="preserve">, </w:t>
      </w:r>
      <w:r w:rsidRPr="00E55717">
        <w:t>Staatsrecht der Schweizerischen Eidgenosse</w:t>
      </w:r>
      <w:r>
        <w:t xml:space="preserve">nschaft, 4. A. 2016, § 13 </w:t>
      </w:r>
      <w:proofErr w:type="spellStart"/>
      <w:r>
        <w:t>Rz</w:t>
      </w:r>
      <w:proofErr w:type="spellEnd"/>
      <w:r>
        <w:t>. 49</w:t>
      </w:r>
      <w:r w:rsidRPr="00E55717">
        <w:t>.</w:t>
      </w:r>
    </w:p>
  </w:footnote>
  <w:footnote w:id="3">
    <w:p w:rsidR="00385638" w:rsidRDefault="00385638">
      <w:pPr>
        <w:pStyle w:val="Funotentext"/>
      </w:pPr>
      <w:r>
        <w:rPr>
          <w:rStyle w:val="Funotenzeichen"/>
        </w:rPr>
        <w:footnoteRef/>
      </w:r>
      <w:r>
        <w:t xml:space="preserve"> </w:t>
      </w:r>
      <w:r w:rsidRPr="005A0247">
        <w:t xml:space="preserve">Aufhebung der Rückerstattungspflicht des Heimatkantons durch die Revision des Bundesgesetzes über die Zuständigkeit für die Unterstützung Bedürftiger [ZUG] vom 14. Dezember 2012, mit Wirkung seit 8. April 2017; </w:t>
      </w:r>
      <w:r>
        <w:t>(</w:t>
      </w:r>
      <w:proofErr w:type="spellStart"/>
      <w:r w:rsidRPr="005A0247">
        <w:t>BBl</w:t>
      </w:r>
      <w:proofErr w:type="spellEnd"/>
      <w:r w:rsidRPr="005A0247">
        <w:t xml:space="preserve"> 2012 7741 7869).</w:t>
      </w:r>
    </w:p>
  </w:footnote>
  <w:footnote w:id="4">
    <w:p w:rsidR="00385638" w:rsidRPr="00E55717" w:rsidRDefault="00385638" w:rsidP="00307B80">
      <w:pPr>
        <w:pStyle w:val="Funotentext"/>
      </w:pPr>
      <w:r w:rsidRPr="00F84840">
        <w:rPr>
          <w:rStyle w:val="Funotenzeichen"/>
        </w:rPr>
        <w:footnoteRef/>
      </w:r>
      <w:r w:rsidRPr="00F84840">
        <w:t xml:space="preserve"> </w:t>
      </w:r>
      <w:r>
        <w:t>Urteil des Bundesgerichts</w:t>
      </w:r>
      <w:r w:rsidRPr="00E55717">
        <w:t xml:space="preserve"> 1D_4/2016 vom 4. Mai 2017, E. 4.4.</w:t>
      </w:r>
    </w:p>
  </w:footnote>
  <w:footnote w:id="5">
    <w:p w:rsidR="00385638" w:rsidRDefault="00385638" w:rsidP="00AE247A">
      <w:pPr>
        <w:pStyle w:val="Funotentext"/>
      </w:pPr>
      <w:r>
        <w:rPr>
          <w:rStyle w:val="Funotenzeichen"/>
        </w:rPr>
        <w:footnoteRef/>
      </w:r>
      <w:r>
        <w:t xml:space="preserve"> Botschaft des Bundesrates zur Totalrevision des </w:t>
      </w:r>
      <w:proofErr w:type="spellStart"/>
      <w:r>
        <w:t>BüG</w:t>
      </w:r>
      <w:proofErr w:type="spellEnd"/>
      <w:r>
        <w:t xml:space="preserve"> vom 4. März 2011, </w:t>
      </w:r>
      <w:proofErr w:type="spellStart"/>
      <w:r>
        <w:t>BBl</w:t>
      </w:r>
      <w:proofErr w:type="spellEnd"/>
      <w:r>
        <w:t xml:space="preserve"> 2011, 2825, 2870;</w:t>
      </w:r>
      <w:r>
        <w:br/>
        <w:t>Andreas Auer, Staatsrecht der Schweizer Kantone, 2016, § 9 N. 1305.</w:t>
      </w:r>
    </w:p>
  </w:footnote>
  <w:footnote w:id="6">
    <w:p w:rsidR="00385638" w:rsidRDefault="00385638" w:rsidP="00AE247A">
      <w:pPr>
        <w:pStyle w:val="Funotentext"/>
        <w:ind w:right="-144"/>
      </w:pPr>
      <w:r>
        <w:rPr>
          <w:rStyle w:val="Funotenzeichen"/>
        </w:rPr>
        <w:footnoteRef/>
      </w:r>
      <w:r>
        <w:t xml:space="preserve"> Art. 18 Abs. 1 </w:t>
      </w:r>
      <w:proofErr w:type="spellStart"/>
      <w:r>
        <w:t>BüG</w:t>
      </w:r>
      <w:proofErr w:type="spellEnd"/>
      <w:r>
        <w:t>: Maximale Aufenthaltsdauer von 5 Jahren in Kanton und Gemeinde.</w:t>
      </w:r>
    </w:p>
  </w:footnote>
  <w:footnote w:id="7">
    <w:p w:rsidR="00385638" w:rsidRPr="00E55717" w:rsidRDefault="00385638" w:rsidP="00307B80">
      <w:pPr>
        <w:pStyle w:val="Funotentext"/>
      </w:pPr>
      <w:r w:rsidRPr="00E55717">
        <w:rPr>
          <w:rStyle w:val="Funotenzeichen"/>
        </w:rPr>
        <w:footnoteRef/>
      </w:r>
      <w:r>
        <w:t xml:space="preserve"> </w:t>
      </w:r>
      <w:proofErr w:type="spellStart"/>
      <w:r>
        <w:t>Tschannen</w:t>
      </w:r>
      <w:proofErr w:type="spellEnd"/>
      <w:r>
        <w:t>, a.a.O.</w:t>
      </w:r>
      <w:r w:rsidRPr="00E55717">
        <w:t xml:space="preserve">, § 13 </w:t>
      </w:r>
      <w:proofErr w:type="spellStart"/>
      <w:r w:rsidRPr="00E55717">
        <w:t>Rz</w:t>
      </w:r>
      <w:proofErr w:type="spellEnd"/>
      <w:r w:rsidRPr="00E55717">
        <w:t>. 32.</w:t>
      </w:r>
    </w:p>
  </w:footnote>
  <w:footnote w:id="8">
    <w:p w:rsidR="00385638" w:rsidRDefault="00385638">
      <w:pPr>
        <w:pStyle w:val="Funotentext"/>
      </w:pPr>
      <w:r>
        <w:rPr>
          <w:rStyle w:val="Funotenzeichen"/>
        </w:rPr>
        <w:footnoteRef/>
      </w:r>
      <w:r>
        <w:t xml:space="preserve"> Peter </w:t>
      </w:r>
      <w:proofErr w:type="spellStart"/>
      <w:r>
        <w:t>Uebersax</w:t>
      </w:r>
      <w:proofErr w:type="spellEnd"/>
      <w:r>
        <w:t xml:space="preserve">, Das Bundesgericht und das Bürgerrechtsgesetz, mit einem Blick auf das neue Recht, in: Basler Juristische Mitteilungen (BJM), Juli 2016, S. 169 ff., S. 202.  </w:t>
      </w:r>
    </w:p>
  </w:footnote>
  <w:footnote w:id="9">
    <w:p w:rsidR="00385638" w:rsidRPr="00E55717" w:rsidRDefault="00385638" w:rsidP="00307B80">
      <w:pPr>
        <w:pStyle w:val="Funotentext"/>
      </w:pPr>
      <w:r w:rsidRPr="00E55717">
        <w:rPr>
          <w:rStyle w:val="Funotenzeichen"/>
        </w:rPr>
        <w:footnoteRef/>
      </w:r>
      <w:r>
        <w:t xml:space="preserve"> Ausführliche Erläuterungen </w:t>
      </w:r>
      <w:r w:rsidRPr="00E55717">
        <w:t>zu den einzelnen Einbürgerungsvoraussetzungen</w:t>
      </w:r>
      <w:r>
        <w:t xml:space="preserve"> in:</w:t>
      </w:r>
      <w:r w:rsidRPr="00E55717">
        <w:t xml:space="preserve"> </w:t>
      </w:r>
      <w:r>
        <w:t>Staatssekretariat für Migration (</w:t>
      </w:r>
      <w:r w:rsidRPr="00E55717">
        <w:t>SEM</w:t>
      </w:r>
      <w:r>
        <w:t>)</w:t>
      </w:r>
      <w:r w:rsidRPr="00E55717">
        <w:t>, Handbuch Bürgerrecht, Kap. 3 Ordentliche Einbürgerung</w:t>
      </w:r>
      <w:r>
        <w:t>, www.sem.admin.ch.</w:t>
      </w:r>
    </w:p>
  </w:footnote>
  <w:footnote w:id="10">
    <w:p w:rsidR="00385638" w:rsidRPr="00F84840" w:rsidRDefault="00385638" w:rsidP="00307B80">
      <w:pPr>
        <w:pStyle w:val="Funotentext"/>
      </w:pPr>
      <w:r>
        <w:rPr>
          <w:rStyle w:val="Funotenzeichen"/>
        </w:rPr>
        <w:footnoteRef/>
      </w:r>
      <w:r>
        <w:t xml:space="preserve"> </w:t>
      </w:r>
      <w:r w:rsidRPr="00F84840">
        <w:t>BBI 2011 2836</w:t>
      </w:r>
      <w:r>
        <w:t>.</w:t>
      </w:r>
    </w:p>
  </w:footnote>
  <w:footnote w:id="11">
    <w:p w:rsidR="00385638" w:rsidRPr="00F84840" w:rsidRDefault="00385638" w:rsidP="00307B80">
      <w:pPr>
        <w:pStyle w:val="Funotentext"/>
      </w:pPr>
      <w:r w:rsidRPr="00F84840">
        <w:rPr>
          <w:rStyle w:val="Funotenzeichen"/>
        </w:rPr>
        <w:footnoteRef/>
      </w:r>
      <w:r w:rsidRPr="00F84840">
        <w:t xml:space="preserve"> </w:t>
      </w:r>
      <w:r>
        <w:t xml:space="preserve">siehe </w:t>
      </w:r>
      <w:r w:rsidRPr="00F84840">
        <w:t>Art. 58a des Ausländer- und Integrationsgesetzes (AIG, SR 142.20)</w:t>
      </w:r>
      <w:r>
        <w:t>.</w:t>
      </w:r>
    </w:p>
  </w:footnote>
  <w:footnote w:id="12">
    <w:p w:rsidR="00385638" w:rsidRDefault="00385638">
      <w:pPr>
        <w:pStyle w:val="Funotentext"/>
      </w:pPr>
      <w:r>
        <w:rPr>
          <w:rStyle w:val="Funotenzeichen"/>
        </w:rPr>
        <w:footnoteRef/>
      </w:r>
      <w:r>
        <w:t xml:space="preserve"> Siehe Vernehmlassung des Regierungsrates zum Entwurf für die Totalrevision des </w:t>
      </w:r>
      <w:proofErr w:type="spellStart"/>
      <w:r>
        <w:t>BüG</w:t>
      </w:r>
      <w:proofErr w:type="spellEnd"/>
      <w:r>
        <w:t xml:space="preserve"> vom 17. März 2010 (RRB Nr. 381/2010).  </w:t>
      </w:r>
    </w:p>
  </w:footnote>
  <w:footnote w:id="13">
    <w:p w:rsidR="00385638" w:rsidRDefault="00385638" w:rsidP="00307B80">
      <w:pPr>
        <w:pStyle w:val="Funotentext"/>
      </w:pPr>
      <w:r>
        <w:rPr>
          <w:rStyle w:val="Funotenzeichen"/>
        </w:rPr>
        <w:footnoteRef/>
      </w:r>
      <w:r>
        <w:t xml:space="preserve"> </w:t>
      </w:r>
      <w:r w:rsidRPr="00243D7F">
        <w:t>In der Vergangenheit ist mehrfach kritisiert worden, das</w:t>
      </w:r>
      <w:r>
        <w:t>s im geltenden Recht viele Rege</w:t>
      </w:r>
      <w:r w:rsidRPr="00243D7F">
        <w:t>lungen auf Verordnungsstufe erfolgen, obwohl sie aufgrund ihres materiellen Gehaltes in ein formelles Gesetz gehören würden (vgl. Protokoll des Verfassungsrates 2000-2004, S. 2795)</w:t>
      </w:r>
      <w:r>
        <w:t>.</w:t>
      </w:r>
    </w:p>
  </w:footnote>
  <w:footnote w:id="14">
    <w:p w:rsidR="00385638" w:rsidRPr="00CC33D2" w:rsidRDefault="00385638" w:rsidP="00307B80">
      <w:pPr>
        <w:pStyle w:val="Funotentext"/>
      </w:pPr>
      <w:r>
        <w:rPr>
          <w:rStyle w:val="Funotenzeichen"/>
        </w:rPr>
        <w:footnoteRef/>
      </w:r>
      <w:r>
        <w:t xml:space="preserve"> </w:t>
      </w:r>
      <w:proofErr w:type="spellStart"/>
      <w:r w:rsidRPr="00CC33D2">
        <w:t>Kottusch</w:t>
      </w:r>
      <w:proofErr w:type="spellEnd"/>
      <w:r w:rsidRPr="00CC33D2">
        <w:t>, Kommentar zur Zürcher Kantonsverfassung, Art. 20 N. 3.</w:t>
      </w:r>
    </w:p>
  </w:footnote>
  <w:footnote w:id="15">
    <w:p w:rsidR="00385638" w:rsidRDefault="00385638">
      <w:pPr>
        <w:pStyle w:val="Funotentext"/>
      </w:pPr>
      <w:r>
        <w:rPr>
          <w:rStyle w:val="Funotenzeichen"/>
        </w:rPr>
        <w:footnoteRef/>
      </w:r>
      <w:r>
        <w:t xml:space="preserve"> Davon wurden 3981 Personen in der Stadt Zürich eingebürgert.</w:t>
      </w:r>
    </w:p>
  </w:footnote>
  <w:footnote w:id="16">
    <w:p w:rsidR="00385638" w:rsidRDefault="00385638" w:rsidP="00307B80">
      <w:pPr>
        <w:pStyle w:val="Funotentext"/>
      </w:pPr>
      <w:r w:rsidRPr="00CC33D2">
        <w:rPr>
          <w:rStyle w:val="Funotenzeichen"/>
        </w:rPr>
        <w:footnoteRef/>
      </w:r>
      <w:r w:rsidRPr="00CC33D2">
        <w:t xml:space="preserve"> Die Staatsbürgerschaft verbessert den Status und ist für die Eingebürgerten Motivation, sich in der schweizerischen Gesellschaft zu integrieren. </w:t>
      </w:r>
      <w:r w:rsidRPr="00CC33D2">
        <w:rPr>
          <w:rFonts w:asciiTheme="minorHAnsi" w:hAnsiTheme="minorHAnsi" w:cstheme="minorHAnsi"/>
        </w:rPr>
        <w:t>Eingebürgerte Personen sind besser in den Arbeitsmarkt integriert und weniger von staatlicher Unterstützung abhängig als nicht eingebürgerte Personen mit vergleichbarem Migrationshintergrund (KR Nr. 53/2017, RRB Nr. 421/2017).</w:t>
      </w:r>
    </w:p>
  </w:footnote>
  <w:footnote w:id="17">
    <w:p w:rsidR="00385638" w:rsidRPr="00E263DE" w:rsidRDefault="00385638" w:rsidP="00722303">
      <w:pPr>
        <w:pStyle w:val="Funotentext"/>
      </w:pPr>
      <w:r w:rsidRPr="00E263DE">
        <w:rPr>
          <w:rStyle w:val="Funotenzeichen"/>
        </w:rPr>
        <w:footnoteRef/>
      </w:r>
      <w:r w:rsidRPr="00E263DE">
        <w:t xml:space="preserve"> Im Kontrast dazu steht die</w:t>
      </w:r>
      <w:r>
        <w:t xml:space="preserve"> geringe</w:t>
      </w:r>
      <w:r w:rsidRPr="00E263DE">
        <w:t xml:space="preserve"> rechtliche Bedeutung des Gemeindebürgerrechts im Kanton Zürich: Diese besteht ausschliesslich darin, dass sie für die Erlangung des Schweizer Bürgerrechts unentbehrlich ist (Tobias </w:t>
      </w:r>
      <w:proofErr w:type="spellStart"/>
      <w:r w:rsidRPr="00E263DE">
        <w:t>Jaag</w:t>
      </w:r>
      <w:proofErr w:type="spellEnd"/>
      <w:r w:rsidRPr="00E263DE">
        <w:t xml:space="preserve">, Staats- und Verwaltungsrecht des Kantons </w:t>
      </w:r>
      <w:r>
        <w:t xml:space="preserve">Zürich, 4. A. 2012, </w:t>
      </w:r>
      <w:proofErr w:type="spellStart"/>
      <w:r>
        <w:t>Rz</w:t>
      </w:r>
      <w:proofErr w:type="spellEnd"/>
      <w:r>
        <w:t>. 904).</w:t>
      </w:r>
    </w:p>
  </w:footnote>
  <w:footnote w:id="18">
    <w:p w:rsidR="00385638" w:rsidRDefault="00385638" w:rsidP="00AB1D8F">
      <w:pPr>
        <w:pStyle w:val="Funotentext"/>
      </w:pPr>
      <w:r>
        <w:rPr>
          <w:rStyle w:val="Funotenzeichen"/>
        </w:rPr>
        <w:footnoteRef/>
      </w:r>
      <w:r>
        <w:t xml:space="preserve"> </w:t>
      </w:r>
      <w:r>
        <w:rPr>
          <w:lang w:val="de-DE"/>
        </w:rPr>
        <w:t>BGE 129 I 217, Fall Emmen; BGE 129 I 232, Fall SVP der Stadt Zürich.</w:t>
      </w:r>
    </w:p>
  </w:footnote>
  <w:footnote w:id="19">
    <w:p w:rsidR="00385638" w:rsidRDefault="00385638">
      <w:pPr>
        <w:pStyle w:val="Funotentext"/>
      </w:pPr>
      <w:r>
        <w:rPr>
          <w:rStyle w:val="Funotenzeichen"/>
        </w:rPr>
        <w:footnoteRef/>
      </w:r>
      <w:r>
        <w:t xml:space="preserve"> BGE 129 I 232; E. 3.3.</w:t>
      </w:r>
    </w:p>
  </w:footnote>
  <w:footnote w:id="20">
    <w:p w:rsidR="00385638" w:rsidRPr="00451B09" w:rsidRDefault="00385638" w:rsidP="00307B80">
      <w:pPr>
        <w:pStyle w:val="Funotentext"/>
      </w:pPr>
      <w:r>
        <w:rPr>
          <w:rStyle w:val="Funotenzeichen"/>
        </w:rPr>
        <w:footnoteRef/>
      </w:r>
      <w:r>
        <w:t xml:space="preserve"> </w:t>
      </w:r>
      <w:r w:rsidRPr="00451B09">
        <w:t xml:space="preserve">Ackermann/von </w:t>
      </w:r>
      <w:proofErr w:type="spellStart"/>
      <w:r w:rsidRPr="00451B09">
        <w:t>Rütte</w:t>
      </w:r>
      <w:proofErr w:type="spellEnd"/>
      <w:r w:rsidRPr="00451B09">
        <w:t>, in: Basler Ko</w:t>
      </w:r>
      <w:r>
        <w:t>mmentar Bundesverfassung, 2015, Art. 38 N. 35</w:t>
      </w:r>
      <w:r w:rsidRPr="00451B09">
        <w:t xml:space="preserve">.  </w:t>
      </w:r>
    </w:p>
  </w:footnote>
  <w:footnote w:id="21">
    <w:p w:rsidR="00385638" w:rsidRDefault="00385638" w:rsidP="00FA7192">
      <w:pPr>
        <w:pStyle w:val="Funotentext"/>
      </w:pPr>
      <w:r>
        <w:rPr>
          <w:rStyle w:val="Funotenzeichen"/>
        </w:rPr>
        <w:footnoteRef/>
      </w:r>
      <w:r>
        <w:t xml:space="preserve"> Gemäss Rechtsprechung des Bundesgerichts haben die Kanton die Kompetenz,</w:t>
      </w:r>
      <w:r w:rsidRPr="00451B09">
        <w:t xml:space="preserve"> einen Rechtsanspruch auf Ei</w:t>
      </w:r>
      <w:r>
        <w:t xml:space="preserve">nbürgerung vorzusehen (vgl. Urteil des Bundesgerichts 1D_4/2016 vom 4. Mai 2017 E. 4.4.). </w:t>
      </w:r>
    </w:p>
  </w:footnote>
  <w:footnote w:id="22">
    <w:p w:rsidR="00385638" w:rsidRDefault="00385638">
      <w:pPr>
        <w:pStyle w:val="Funotentext"/>
      </w:pPr>
      <w:r>
        <w:rPr>
          <w:rStyle w:val="Funotenzeichen"/>
        </w:rPr>
        <w:footnoteRef/>
      </w:r>
      <w:r>
        <w:t xml:space="preserve"> Das Gesetz betreffend das Gemeindewesen von 1875 nennt folgende Bedingungen: Gehörige Ausweise über die Heimat- und Familienverhältnisse, Besitz der Handlungsfähigkeit, unbescholtener Ruf, Entrichtung der Einkaufsgebühr, Erteilung des Landrechts durch den Regierungsrat. Heute ist dies in § 21 Abs. 1 </w:t>
      </w:r>
      <w:proofErr w:type="spellStart"/>
      <w:r>
        <w:t>KBüG</w:t>
      </w:r>
      <w:proofErr w:type="spellEnd"/>
      <w:r>
        <w:t xml:space="preserve"> geregelt.</w:t>
      </w:r>
    </w:p>
  </w:footnote>
  <w:footnote w:id="23">
    <w:p w:rsidR="00385638" w:rsidRPr="002608A6" w:rsidRDefault="00385638" w:rsidP="00474FF9">
      <w:pPr>
        <w:pStyle w:val="00Vorgabetext"/>
        <w:spacing w:before="0"/>
        <w:rPr>
          <w:sz w:val="18"/>
          <w:szCs w:val="18"/>
        </w:rPr>
      </w:pPr>
      <w:r w:rsidRPr="00E263DE">
        <w:rPr>
          <w:rStyle w:val="Funotenzeichen"/>
          <w:sz w:val="18"/>
          <w:szCs w:val="18"/>
        </w:rPr>
        <w:footnoteRef/>
      </w:r>
      <w:r>
        <w:t xml:space="preserve"> </w:t>
      </w:r>
      <w:r w:rsidRPr="002608A6">
        <w:rPr>
          <w:sz w:val="18"/>
          <w:szCs w:val="18"/>
        </w:rPr>
        <w:t>Nach geltendem Recht besteht in den genannten Fällen nur ein Rechtsanspruch auf Erteilung des Gemeindebürgerrechts, aber kein solcher auf das Kantonsbürgerrecht. Das befriedigt nicht. Wenn man grundsätzlich einen Rechtanspruch bejaht, soll dieser für beide Bürgerrechte stipuliert werden</w:t>
      </w:r>
      <w:r w:rsidRPr="002608A6">
        <w:rPr>
          <w:rFonts w:cs="Arial"/>
          <w:sz w:val="18"/>
          <w:szCs w:val="18"/>
        </w:rPr>
        <w:t xml:space="preserve"> (</w:t>
      </w:r>
      <w:proofErr w:type="spellStart"/>
      <w:r w:rsidRPr="002608A6">
        <w:rPr>
          <w:rFonts w:cs="Arial"/>
          <w:sz w:val="18"/>
          <w:szCs w:val="18"/>
        </w:rPr>
        <w:t>Kottusch</w:t>
      </w:r>
      <w:proofErr w:type="spellEnd"/>
      <w:r w:rsidRPr="002608A6">
        <w:rPr>
          <w:rFonts w:cs="Arial"/>
          <w:sz w:val="18"/>
          <w:szCs w:val="18"/>
        </w:rPr>
        <w:t>, Kommentar zur Zürcher Kantonsverfassung, Art. 20 N. 5)</w:t>
      </w:r>
      <w:r w:rsidRPr="002608A6">
        <w:rPr>
          <w:sz w:val="18"/>
          <w:szCs w:val="18"/>
        </w:rPr>
        <w:t xml:space="preserve">. </w:t>
      </w:r>
    </w:p>
  </w:footnote>
  <w:footnote w:id="24">
    <w:p w:rsidR="00385638" w:rsidRPr="002608A6" w:rsidRDefault="00385638" w:rsidP="00307B80">
      <w:pPr>
        <w:pStyle w:val="Funotentext"/>
      </w:pPr>
      <w:r w:rsidRPr="002608A6">
        <w:rPr>
          <w:rStyle w:val="Funotenzeichen"/>
        </w:rPr>
        <w:footnoteRef/>
      </w:r>
      <w:r w:rsidRPr="002608A6">
        <w:t xml:space="preserve"> </w:t>
      </w:r>
      <w:proofErr w:type="spellStart"/>
      <w:r w:rsidRPr="002608A6">
        <w:t>Abl</w:t>
      </w:r>
      <w:proofErr w:type="spellEnd"/>
      <w:r w:rsidRPr="002608A6">
        <w:t xml:space="preserve"> 1996, 945; OS 54, 266; Gegenrechtskonvention von sieben Kantonen.</w:t>
      </w:r>
    </w:p>
  </w:footnote>
  <w:footnote w:id="25">
    <w:p w:rsidR="00385638" w:rsidRDefault="00385638">
      <w:pPr>
        <w:pStyle w:val="Funotentext"/>
      </w:pPr>
      <w:r>
        <w:rPr>
          <w:rStyle w:val="Funotenzeichen"/>
        </w:rPr>
        <w:footnoteRef/>
      </w:r>
      <w:r>
        <w:t xml:space="preserve"> In diesen 34 Gemeinden wohnen 7% der Zürcher Bevölkerung. Pro Jahr werden in diesen Gemeinden insgesamt 259 Personen eingebürgert; dies entspricht 3,6% aller Einbürgerungen im Kanton Zürich (Durchschnitt der letzten zehn Jahre).</w:t>
      </w:r>
    </w:p>
  </w:footnote>
  <w:footnote w:id="26">
    <w:p w:rsidR="00385638" w:rsidRDefault="00385638">
      <w:pPr>
        <w:pStyle w:val="Funotentext"/>
      </w:pPr>
      <w:r>
        <w:rPr>
          <w:rStyle w:val="Funotenzeichen"/>
        </w:rPr>
        <w:footnoteRef/>
      </w:r>
      <w:r>
        <w:t xml:space="preserve"> In diesen drei Städten wohnen 4,6% der Zürcher Bevölkerung. Pro Jahr werden in diesen Städten insgesamt 296 Personen eingebürgert; dies entspricht 4,2% aller Einbürgerungen im Kanton Zürich (Durchschnitt der letzten zehn Jahre).</w:t>
      </w:r>
    </w:p>
  </w:footnote>
  <w:footnote w:id="27">
    <w:p w:rsidR="00385638" w:rsidRPr="002608A6" w:rsidRDefault="00385638" w:rsidP="00307B80">
      <w:pPr>
        <w:pStyle w:val="Funotentext"/>
      </w:pPr>
      <w:r w:rsidRPr="002608A6">
        <w:rPr>
          <w:rStyle w:val="Funotenzeichen"/>
          <w:rFonts w:eastAsiaTheme="majorEastAsia"/>
        </w:rPr>
        <w:footnoteRef/>
      </w:r>
      <w:r w:rsidRPr="002608A6">
        <w:t xml:space="preserve"> Bei diesen Zahlen ist zu berücksichtigten, dass sich die Zahl der Zürcher Gemeinden durch Fusionen verringert hat, von 171 Gemeinden im Jahr 2003 auf 162 Gemeinden im Jahr 2019.</w:t>
      </w:r>
    </w:p>
  </w:footnote>
  <w:footnote w:id="28">
    <w:p w:rsidR="00385638" w:rsidRDefault="00385638" w:rsidP="00307B80">
      <w:pPr>
        <w:pStyle w:val="Funotentext"/>
      </w:pPr>
      <w:r w:rsidRPr="00B02F79">
        <w:rPr>
          <w:rStyle w:val="Funotenzeichen"/>
        </w:rPr>
        <w:footnoteRef/>
      </w:r>
      <w:r w:rsidRPr="00B02F79">
        <w:t xml:space="preserve"> VB 2003.00450, Entscheid vom 15.12. 2004</w:t>
      </w:r>
      <w:r w:rsidRPr="00B02F79">
        <w:rPr>
          <w:sz w:val="22"/>
          <w:szCs w:val="22"/>
        </w:rPr>
        <w:t>.</w:t>
      </w:r>
    </w:p>
  </w:footnote>
  <w:footnote w:id="29">
    <w:p w:rsidR="00385638" w:rsidRPr="000F1D49" w:rsidRDefault="00385638" w:rsidP="00C8467F">
      <w:pPr>
        <w:tabs>
          <w:tab w:val="clear" w:pos="397"/>
          <w:tab w:val="left" w:pos="284"/>
        </w:tabs>
        <w:spacing w:before="0"/>
        <w:ind w:left="284" w:hanging="284"/>
        <w:rPr>
          <w:sz w:val="18"/>
          <w:szCs w:val="18"/>
        </w:rPr>
      </w:pPr>
      <w:r w:rsidRPr="000F1D49">
        <w:rPr>
          <w:rStyle w:val="Funotenzeichen"/>
          <w:sz w:val="18"/>
          <w:szCs w:val="18"/>
        </w:rPr>
        <w:footnoteRef/>
      </w:r>
      <w:r w:rsidRPr="000F1D49">
        <w:rPr>
          <w:sz w:val="18"/>
          <w:szCs w:val="18"/>
        </w:rPr>
        <w:t xml:space="preserve"> Das </w:t>
      </w:r>
      <w:r>
        <w:rPr>
          <w:sz w:val="18"/>
          <w:szCs w:val="18"/>
        </w:rPr>
        <w:t xml:space="preserve">geltende Recht (§§ 21 und 22 Abs. 3 </w:t>
      </w:r>
      <w:proofErr w:type="spellStart"/>
      <w:r w:rsidRPr="000F1D49">
        <w:rPr>
          <w:sz w:val="18"/>
          <w:szCs w:val="18"/>
        </w:rPr>
        <w:t>KBüG</w:t>
      </w:r>
      <w:proofErr w:type="spellEnd"/>
      <w:r>
        <w:rPr>
          <w:sz w:val="18"/>
          <w:szCs w:val="18"/>
        </w:rPr>
        <w:t>)</w:t>
      </w:r>
      <w:r w:rsidRPr="000F1D49">
        <w:rPr>
          <w:sz w:val="18"/>
          <w:szCs w:val="18"/>
        </w:rPr>
        <w:t xml:space="preserve"> unterscheidet folgende vier Kategorien:</w:t>
      </w:r>
    </w:p>
    <w:p w:rsidR="00385638" w:rsidRPr="000F1D49" w:rsidRDefault="00385638" w:rsidP="0055101F">
      <w:pPr>
        <w:tabs>
          <w:tab w:val="clear" w:pos="397"/>
          <w:tab w:val="left" w:pos="284"/>
        </w:tabs>
        <w:spacing w:before="0"/>
        <w:ind w:left="284" w:hanging="284"/>
        <w:rPr>
          <w:sz w:val="18"/>
          <w:szCs w:val="18"/>
        </w:rPr>
      </w:pPr>
      <w:r>
        <w:rPr>
          <w:sz w:val="18"/>
          <w:szCs w:val="18"/>
        </w:rPr>
        <w:t>-</w:t>
      </w:r>
      <w:r>
        <w:rPr>
          <w:sz w:val="18"/>
          <w:szCs w:val="18"/>
        </w:rPr>
        <w:tab/>
        <w:t>Personen</w:t>
      </w:r>
      <w:r w:rsidRPr="000F1D49">
        <w:rPr>
          <w:sz w:val="18"/>
          <w:szCs w:val="18"/>
        </w:rPr>
        <w:t>, d</w:t>
      </w:r>
      <w:r>
        <w:rPr>
          <w:sz w:val="18"/>
          <w:szCs w:val="18"/>
        </w:rPr>
        <w:t>ie in der Schweiz geboren sind: Zwei Jahre Wohnsitz in der Gemeinde</w:t>
      </w:r>
      <w:r w:rsidRPr="000F1D49">
        <w:rPr>
          <w:sz w:val="18"/>
          <w:szCs w:val="18"/>
        </w:rPr>
        <w:t>.</w:t>
      </w:r>
    </w:p>
    <w:p w:rsidR="00385638" w:rsidRPr="000F1D49" w:rsidRDefault="00385638" w:rsidP="0055101F">
      <w:pPr>
        <w:tabs>
          <w:tab w:val="clear" w:pos="397"/>
          <w:tab w:val="left" w:pos="284"/>
        </w:tabs>
        <w:spacing w:before="0"/>
        <w:ind w:left="284" w:hanging="284"/>
        <w:rPr>
          <w:sz w:val="18"/>
          <w:szCs w:val="18"/>
        </w:rPr>
      </w:pPr>
      <w:r>
        <w:rPr>
          <w:sz w:val="18"/>
          <w:szCs w:val="18"/>
        </w:rPr>
        <w:t>-</w:t>
      </w:r>
      <w:r>
        <w:rPr>
          <w:sz w:val="18"/>
          <w:szCs w:val="18"/>
        </w:rPr>
        <w:tab/>
        <w:t>Personen</w:t>
      </w:r>
      <w:r w:rsidRPr="000F1D49">
        <w:rPr>
          <w:sz w:val="18"/>
          <w:szCs w:val="18"/>
        </w:rPr>
        <w:t>, die nic</w:t>
      </w:r>
      <w:r>
        <w:rPr>
          <w:sz w:val="18"/>
          <w:szCs w:val="18"/>
        </w:rPr>
        <w:t>ht in der Schweiz geboren sind: Zwei Jahre Wohnsitz in der Gemeinde.</w:t>
      </w:r>
    </w:p>
    <w:p w:rsidR="00385638" w:rsidRPr="000F1D49" w:rsidRDefault="00385638" w:rsidP="0055101F">
      <w:pPr>
        <w:tabs>
          <w:tab w:val="clear" w:pos="397"/>
          <w:tab w:val="left" w:pos="284"/>
        </w:tabs>
        <w:spacing w:before="0"/>
        <w:ind w:left="284" w:hanging="284"/>
        <w:rPr>
          <w:sz w:val="18"/>
          <w:szCs w:val="18"/>
        </w:rPr>
      </w:pPr>
      <w:r>
        <w:rPr>
          <w:sz w:val="18"/>
          <w:szCs w:val="18"/>
        </w:rPr>
        <w:t>-</w:t>
      </w:r>
      <w:r>
        <w:rPr>
          <w:sz w:val="18"/>
          <w:szCs w:val="18"/>
        </w:rPr>
        <w:tab/>
        <w:t xml:space="preserve">Personen </w:t>
      </w:r>
      <w:r w:rsidRPr="000F1D49">
        <w:rPr>
          <w:sz w:val="18"/>
          <w:szCs w:val="18"/>
        </w:rPr>
        <w:t xml:space="preserve">zwischen 16 und 25 Jahren, die in der Schweiz geboren sind: </w:t>
      </w:r>
      <w:r>
        <w:rPr>
          <w:sz w:val="18"/>
          <w:szCs w:val="18"/>
        </w:rPr>
        <w:t>2 Jahre Wohnsitz im Kanton.</w:t>
      </w:r>
    </w:p>
    <w:p w:rsidR="00385638" w:rsidRPr="00307B80" w:rsidRDefault="00385638" w:rsidP="00307B80">
      <w:pPr>
        <w:tabs>
          <w:tab w:val="clear" w:pos="397"/>
          <w:tab w:val="left" w:pos="284"/>
        </w:tabs>
        <w:spacing w:before="0"/>
        <w:ind w:left="284" w:hanging="284"/>
        <w:rPr>
          <w:sz w:val="18"/>
          <w:szCs w:val="18"/>
        </w:rPr>
      </w:pPr>
      <w:r>
        <w:rPr>
          <w:sz w:val="18"/>
          <w:szCs w:val="18"/>
        </w:rPr>
        <w:t>-</w:t>
      </w:r>
      <w:r>
        <w:rPr>
          <w:sz w:val="18"/>
          <w:szCs w:val="18"/>
        </w:rPr>
        <w:tab/>
        <w:t xml:space="preserve">Personen </w:t>
      </w:r>
      <w:r w:rsidRPr="000F1D49">
        <w:rPr>
          <w:sz w:val="18"/>
          <w:szCs w:val="18"/>
        </w:rPr>
        <w:t xml:space="preserve">zwischen 16 und 25 Jahren, die nicht in der Schweiz geboren, aber in der Schweiz mindestens fünf Jahre die Schule besucht haben: </w:t>
      </w:r>
      <w:r>
        <w:rPr>
          <w:sz w:val="18"/>
          <w:szCs w:val="18"/>
        </w:rPr>
        <w:t>Zwei Jahre Wohnsitz im Kanton.</w:t>
      </w:r>
    </w:p>
  </w:footnote>
  <w:footnote w:id="30">
    <w:p w:rsidR="00385638" w:rsidRDefault="00385638">
      <w:pPr>
        <w:pStyle w:val="Funotentext"/>
      </w:pPr>
      <w:r>
        <w:rPr>
          <w:rStyle w:val="Funotenzeichen"/>
        </w:rPr>
        <w:footnoteRef/>
      </w:r>
      <w:r>
        <w:t xml:space="preserve"> Sieben weitere Kantone kennen eine Wohnsitzfrist von zwei Jahren (BE, BS, SH, VD, NE, GE, JU).</w:t>
      </w:r>
    </w:p>
  </w:footnote>
  <w:footnote w:id="31">
    <w:p w:rsidR="00385638" w:rsidRDefault="00385638">
      <w:pPr>
        <w:pStyle w:val="Funotentext"/>
      </w:pPr>
      <w:r>
        <w:rPr>
          <w:rStyle w:val="Funotenzeichen"/>
        </w:rPr>
        <w:footnoteRef/>
      </w:r>
      <w:r>
        <w:t xml:space="preserve"> Ein Wechsel der Wohngemeinde soll die Einbürgerung nicht auf mehrere Jahre hinaus verunmöglichen. </w:t>
      </w:r>
    </w:p>
  </w:footnote>
  <w:footnote w:id="32">
    <w:p w:rsidR="00385638" w:rsidRPr="0079149C" w:rsidRDefault="00385638" w:rsidP="00307B80">
      <w:pPr>
        <w:pStyle w:val="Funotentext"/>
      </w:pPr>
      <w:r w:rsidRPr="0079149C">
        <w:rPr>
          <w:rStyle w:val="Funotenzeichen"/>
        </w:rPr>
        <w:footnoteRef/>
      </w:r>
      <w:r w:rsidRPr="0079149C">
        <w:t xml:space="preserve"> Zu den Details siehe SEM, Handbuch Bürgerrecht, Kap. 3, S. 37, Tabelle 7 Sanktionen gegenüber Kindern und Jugendlichen.</w:t>
      </w:r>
    </w:p>
  </w:footnote>
  <w:footnote w:id="33">
    <w:p w:rsidR="00385638" w:rsidRPr="00A2250F" w:rsidRDefault="00385638" w:rsidP="00307B80">
      <w:pPr>
        <w:pStyle w:val="Funotentext"/>
      </w:pPr>
      <w:r w:rsidRPr="0079149C">
        <w:rPr>
          <w:rStyle w:val="Funotenzeichen"/>
        </w:rPr>
        <w:footnoteRef/>
      </w:r>
      <w:r w:rsidRPr="0079149C">
        <w:t xml:space="preserve"> </w:t>
      </w:r>
      <w:r w:rsidR="00C361C3">
        <w:t>2018 wurden im Kanton Zürich 3980</w:t>
      </w:r>
      <w:r>
        <w:t xml:space="preserve"> </w:t>
      </w:r>
      <w:r w:rsidRPr="00A2250F">
        <w:t>Strafen</w:t>
      </w:r>
      <w:r>
        <w:t xml:space="preserve"> gegen Jugendliche</w:t>
      </w:r>
      <w:r w:rsidRPr="00A2250F">
        <w:t xml:space="preserve"> aus</w:t>
      </w:r>
      <w:r w:rsidR="00C361C3">
        <w:t>gesprochen: 2047</w:t>
      </w:r>
      <w:r>
        <w:t xml:space="preserve"> Verweise</w:t>
      </w:r>
      <w:r w:rsidR="005D2DEE">
        <w:t>, 808</w:t>
      </w:r>
      <w:r w:rsidR="00C361C3">
        <w:t xml:space="preserve"> persönliche Leistungen, 818</w:t>
      </w:r>
      <w:r w:rsidR="005D2DEE">
        <w:t xml:space="preserve"> Bussen, 87</w:t>
      </w:r>
      <w:r>
        <w:t xml:space="preserve"> Freiheitsentzüge (</w:t>
      </w:r>
      <w:r w:rsidRPr="00A2250F">
        <w:t>Statistik Jugendstraf</w:t>
      </w:r>
      <w:r w:rsidR="00C361C3">
        <w:t>rechtspflege Kanton Zürich 2018</w:t>
      </w:r>
      <w:r w:rsidR="00A42094">
        <w:t>).</w:t>
      </w:r>
    </w:p>
  </w:footnote>
  <w:footnote w:id="34">
    <w:p w:rsidR="00385638" w:rsidRDefault="00385638" w:rsidP="00767A2C">
      <w:pPr>
        <w:pStyle w:val="Funotentext"/>
      </w:pPr>
      <w:r>
        <w:rPr>
          <w:rStyle w:val="Funotenzeichen"/>
        </w:rPr>
        <w:footnoteRef/>
      </w:r>
      <w:r>
        <w:t xml:space="preserve"> </w:t>
      </w:r>
      <w:r w:rsidRPr="00A958AB">
        <w:rPr>
          <w:lang w:val="de-DE"/>
        </w:rPr>
        <w:t>1</w:t>
      </w:r>
      <w:r>
        <w:rPr>
          <w:lang w:val="de-DE"/>
        </w:rPr>
        <w:t>D_9/2011.</w:t>
      </w:r>
    </w:p>
  </w:footnote>
  <w:footnote w:id="35">
    <w:p w:rsidR="00385638" w:rsidRDefault="00385638">
      <w:pPr>
        <w:pStyle w:val="Funotentext"/>
      </w:pPr>
      <w:r>
        <w:rPr>
          <w:rStyle w:val="Funotenzeichen"/>
        </w:rPr>
        <w:footnoteRef/>
      </w:r>
      <w:r>
        <w:t xml:space="preserve"> § 21 Abs. 1 Gemeindegesetz vom 6. Juni 1926.</w:t>
      </w:r>
    </w:p>
  </w:footnote>
  <w:footnote w:id="36">
    <w:p w:rsidR="00385638" w:rsidRPr="00A2250F" w:rsidRDefault="00385638" w:rsidP="00307B80">
      <w:pPr>
        <w:pStyle w:val="Funotentext"/>
      </w:pPr>
      <w:r w:rsidRPr="00A2250F">
        <w:rPr>
          <w:rStyle w:val="Funotenzeichen"/>
        </w:rPr>
        <w:footnoteRef/>
      </w:r>
      <w:r w:rsidRPr="00A2250F">
        <w:t xml:space="preserve"> Weisung des Regierungsrates zur Änderung der Bürgerrechtsverordnung vom 11. Juni 2014, S. 19.  </w:t>
      </w:r>
    </w:p>
  </w:footnote>
  <w:footnote w:id="37">
    <w:p w:rsidR="00385638" w:rsidRPr="00A2250F" w:rsidRDefault="00385638" w:rsidP="00307B80">
      <w:pPr>
        <w:pStyle w:val="Funotentext"/>
      </w:pPr>
      <w:r w:rsidRPr="00A2250F">
        <w:rPr>
          <w:rStyle w:val="Funotenzeichen"/>
        </w:rPr>
        <w:footnoteRef/>
      </w:r>
      <w:r w:rsidRPr="00A2250F">
        <w:t xml:space="preserve"> So haben die Kantone Aargau, Bern, Basel-Landschaft und Graubünden Wartefristen für straffällige Jugendliche</w:t>
      </w:r>
      <w:r>
        <w:t xml:space="preserve"> ei</w:t>
      </w:r>
      <w:r w:rsidRPr="00A2250F">
        <w:t>n</w:t>
      </w:r>
      <w:r>
        <w:t>g</w:t>
      </w:r>
      <w:r w:rsidRPr="00A2250F">
        <w:t>eführt.</w:t>
      </w:r>
    </w:p>
  </w:footnote>
  <w:footnote w:id="38">
    <w:p w:rsidR="00385638" w:rsidRPr="00A2250F" w:rsidRDefault="00385638" w:rsidP="004B3868">
      <w:pPr>
        <w:pStyle w:val="00Vorgabetext"/>
        <w:tabs>
          <w:tab w:val="clear" w:pos="794"/>
          <w:tab w:val="clear" w:pos="1191"/>
        </w:tabs>
        <w:spacing w:before="0"/>
        <w:rPr>
          <w:sz w:val="18"/>
          <w:szCs w:val="18"/>
        </w:rPr>
      </w:pPr>
      <w:r w:rsidRPr="00A2250F">
        <w:rPr>
          <w:rStyle w:val="Funotenzeichen"/>
          <w:sz w:val="18"/>
          <w:szCs w:val="18"/>
        </w:rPr>
        <w:footnoteRef/>
      </w:r>
      <w:r w:rsidRPr="00A2250F">
        <w:rPr>
          <w:sz w:val="18"/>
          <w:szCs w:val="18"/>
        </w:rPr>
        <w:t xml:space="preserve"> </w:t>
      </w:r>
      <w:r w:rsidRPr="00A2250F">
        <w:rPr>
          <w:rFonts w:cs="Arial"/>
          <w:sz w:val="18"/>
          <w:szCs w:val="18"/>
        </w:rPr>
        <w:t xml:space="preserve">Als Verbrechen gelten Taten, die mit einer Freiheitstrafe von mehr als 3 Jahren bedroht sind (Art. 10 Abs. 2 StGB). Vergehen sind Taten, die mit einer Freiheitsstrafe bis zu drei Jahren oder mit Geldstrafe bedroht sind (Art. 10 Abs. 3 StGB).  </w:t>
      </w:r>
      <w:r w:rsidRPr="00A2250F">
        <w:rPr>
          <w:sz w:val="18"/>
          <w:szCs w:val="18"/>
        </w:rPr>
        <w:t>Massgebend für die Definition von Verbrechen und Vergehen sind die Verbotstatbestände des besonderen Teils des StGB.</w:t>
      </w:r>
    </w:p>
  </w:footnote>
  <w:footnote w:id="39">
    <w:p w:rsidR="00385638" w:rsidRPr="00F7553C" w:rsidRDefault="00385638" w:rsidP="00F7553C">
      <w:pPr>
        <w:pStyle w:val="Funotentext"/>
      </w:pPr>
      <w:r w:rsidRPr="0079149C">
        <w:rPr>
          <w:rStyle w:val="Funotenzeichen"/>
        </w:rPr>
        <w:footnoteRef/>
      </w:r>
      <w:r w:rsidRPr="0079149C">
        <w:t xml:space="preserve"> </w:t>
      </w:r>
      <w:r w:rsidRPr="00F7553C">
        <w:t>Davon ausgenommen sind Strafen mit einem Freiheitsentzug von mehr als sechs Monaten</w:t>
      </w:r>
      <w:r>
        <w:t xml:space="preserve">. </w:t>
      </w:r>
      <w:r w:rsidRPr="00F7553C">
        <w:t xml:space="preserve">In diesen Fällen verjährt die Strafe in vier Jahren (Art. 37 Abs. 1 </w:t>
      </w:r>
      <w:proofErr w:type="spellStart"/>
      <w:r w:rsidRPr="00F7553C">
        <w:t>lit</w:t>
      </w:r>
      <w:proofErr w:type="spellEnd"/>
      <w:r w:rsidRPr="00F7553C">
        <w:t xml:space="preserve">. a </w:t>
      </w:r>
      <w:proofErr w:type="spellStart"/>
      <w:r w:rsidRPr="00F7553C">
        <w:t>JStG</w:t>
      </w:r>
      <w:proofErr w:type="spellEnd"/>
      <w:r w:rsidRPr="00F7553C">
        <w:t>). Bei Freiheitsentzügen von mehr als sechs Monaten erfolgt ein Eintrag im Strafregister (Entfernungsfrist</w:t>
      </w:r>
      <w:r>
        <w:t>:</w:t>
      </w:r>
      <w:r w:rsidRPr="00F7553C">
        <w:t xml:space="preserve"> 10 Jahre + Dauer der Strafe). Die kantonale Regelung mit der </w:t>
      </w:r>
      <w:r>
        <w:t xml:space="preserve">Wartefrist von zwei Jahren spielt in diesen Fällen keine Rolle. </w:t>
      </w:r>
    </w:p>
  </w:footnote>
  <w:footnote w:id="40">
    <w:p w:rsidR="00385638" w:rsidRPr="00210317" w:rsidRDefault="00385638" w:rsidP="00F7553C">
      <w:pPr>
        <w:spacing w:before="0"/>
        <w:rPr>
          <w:sz w:val="18"/>
          <w:szCs w:val="18"/>
        </w:rPr>
      </w:pPr>
      <w:r w:rsidRPr="00AA60DA">
        <w:rPr>
          <w:rStyle w:val="Funotenzeichen"/>
          <w:sz w:val="18"/>
          <w:szCs w:val="18"/>
        </w:rPr>
        <w:footnoteRef/>
      </w:r>
      <w:r w:rsidRPr="00AA60DA">
        <w:rPr>
          <w:sz w:val="18"/>
          <w:szCs w:val="18"/>
        </w:rPr>
        <w:t xml:space="preserve"> vgl. P. </w:t>
      </w:r>
      <w:proofErr w:type="spellStart"/>
      <w:r w:rsidRPr="00AA60DA">
        <w:rPr>
          <w:sz w:val="18"/>
          <w:szCs w:val="18"/>
        </w:rPr>
        <w:t>Aebersold</w:t>
      </w:r>
      <w:proofErr w:type="spellEnd"/>
      <w:r w:rsidRPr="00AA60DA">
        <w:rPr>
          <w:sz w:val="18"/>
          <w:szCs w:val="18"/>
        </w:rPr>
        <w:t xml:space="preserve">, Schweizerisches Jugendstrafrecht, S. 189. </w:t>
      </w:r>
    </w:p>
  </w:footnote>
  <w:footnote w:id="41">
    <w:p w:rsidR="00385638" w:rsidRPr="004918E1" w:rsidRDefault="00385638" w:rsidP="004918E1">
      <w:pPr>
        <w:spacing w:before="0"/>
        <w:rPr>
          <w:rFonts w:cs="Arial"/>
          <w:sz w:val="18"/>
          <w:szCs w:val="18"/>
        </w:rPr>
      </w:pPr>
      <w:r w:rsidRPr="00AA60DA">
        <w:rPr>
          <w:rStyle w:val="Funotenzeichen"/>
          <w:sz w:val="18"/>
          <w:szCs w:val="18"/>
        </w:rPr>
        <w:footnoteRef/>
      </w:r>
      <w:r w:rsidRPr="00AA60DA">
        <w:rPr>
          <w:sz w:val="18"/>
          <w:szCs w:val="18"/>
        </w:rPr>
        <w:t xml:space="preserve"> </w:t>
      </w:r>
      <w:proofErr w:type="spellStart"/>
      <w:proofErr w:type="gramStart"/>
      <w:r w:rsidRPr="00AA60DA">
        <w:rPr>
          <w:sz w:val="18"/>
          <w:szCs w:val="18"/>
        </w:rPr>
        <w:t>gfs.bern</w:t>
      </w:r>
      <w:proofErr w:type="spellEnd"/>
      <w:proofErr w:type="gramEnd"/>
      <w:r w:rsidRPr="00AA60DA">
        <w:rPr>
          <w:sz w:val="18"/>
          <w:szCs w:val="18"/>
        </w:rPr>
        <w:t xml:space="preserve">, Sorgenbarometer 2018, Schlussbericht Dezember 2018, S. 14. </w:t>
      </w:r>
    </w:p>
  </w:footnote>
  <w:footnote w:id="42">
    <w:p w:rsidR="00385638" w:rsidRDefault="00385638">
      <w:pPr>
        <w:pStyle w:val="Funotentext"/>
      </w:pPr>
      <w:r>
        <w:rPr>
          <w:rStyle w:val="Funotenzeichen"/>
        </w:rPr>
        <w:footnoteRef/>
      </w:r>
      <w:r>
        <w:t xml:space="preserve"> </w:t>
      </w:r>
      <w:r>
        <w:rPr>
          <w:rFonts w:asciiTheme="minorHAnsi" w:hAnsiTheme="minorHAnsi" w:cstheme="minorHAnsi"/>
        </w:rPr>
        <w:t>Urteil des Bundesgerichts 1D_7/2015 vom 14. Juli 2016, E. 4.3</w:t>
      </w:r>
      <w:r w:rsidRPr="0013761B">
        <w:rPr>
          <w:rFonts w:asciiTheme="minorHAnsi" w:hAnsiTheme="minorHAnsi" w:cstheme="minorHAnsi"/>
        </w:rPr>
        <w:t>.</w:t>
      </w:r>
    </w:p>
  </w:footnote>
  <w:footnote w:id="43">
    <w:p w:rsidR="00385638" w:rsidRDefault="00385638">
      <w:pPr>
        <w:pStyle w:val="Funotentext"/>
      </w:pPr>
      <w:r>
        <w:rPr>
          <w:rStyle w:val="Funotenzeichen"/>
        </w:rPr>
        <w:footnoteRef/>
      </w:r>
      <w:r>
        <w:t xml:space="preserve"> </w:t>
      </w:r>
      <w:r w:rsidRPr="00CB2E64">
        <w:rPr>
          <w:rFonts w:asciiTheme="minorHAnsi" w:hAnsiTheme="minorHAnsi" w:cstheme="minorHAnsi"/>
        </w:rPr>
        <w:t xml:space="preserve">Zentrales </w:t>
      </w:r>
      <w:r w:rsidRPr="00CB2E64">
        <w:rPr>
          <w:rFonts w:asciiTheme="minorHAnsi" w:hAnsiTheme="minorHAnsi" w:cstheme="minorHAnsi"/>
          <w:lang w:val="de-DE"/>
        </w:rPr>
        <w:t>Migrationsinformationssystem des Bundes, das der Bearbeitung der Personendaten aus dem Ausländer- und Asylbereich dient</w:t>
      </w:r>
      <w:r>
        <w:rPr>
          <w:rFonts w:asciiTheme="minorHAnsi" w:hAnsiTheme="minorHAnsi" w:cstheme="minorHAnsi"/>
          <w:color w:val="454545"/>
          <w:lang w:val="de-DE"/>
        </w:rPr>
        <w:t>.</w:t>
      </w:r>
    </w:p>
  </w:footnote>
  <w:footnote w:id="44">
    <w:p w:rsidR="00385638" w:rsidRDefault="00385638">
      <w:pPr>
        <w:pStyle w:val="Funotentext"/>
      </w:pPr>
      <w:r>
        <w:rPr>
          <w:rStyle w:val="Funotenzeichen"/>
        </w:rPr>
        <w:footnoteRef/>
      </w:r>
      <w:r>
        <w:t xml:space="preserve"> Kantonale Einwohnerdatenplattform.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85638" w:rsidTr="00F0230D">
      <w:tc>
        <w:tcPr>
          <w:tcW w:w="1134" w:type="dxa"/>
        </w:tcPr>
        <w:p w:rsidR="00385638" w:rsidRDefault="00385638" w:rsidP="00F0230D">
          <w:pPr>
            <w:pStyle w:val="00Vorgabetext"/>
          </w:pPr>
        </w:p>
      </w:tc>
      <w:tc>
        <w:tcPr>
          <w:tcW w:w="3594" w:type="dxa"/>
        </w:tcPr>
        <w:p w:rsidR="00385638" w:rsidRPr="00376A29" w:rsidRDefault="00385638" w:rsidP="00752D5C">
          <w:pPr>
            <w:pStyle w:val="55Kopf"/>
          </w:pPr>
          <w:r w:rsidRPr="00111247">
            <w:t>Kanton Zürich</w:t>
          </w:r>
        </w:p>
        <w:p w:rsidR="00385638" w:rsidRPr="00376A29" w:rsidRDefault="00385638" w:rsidP="00752D5C">
          <w:pPr>
            <w:pStyle w:val="55Kopf"/>
          </w:pPr>
          <w:r w:rsidRPr="00111247">
            <w:t>Direktion der Justiz und des Innern</w:t>
          </w:r>
        </w:p>
        <w:p w:rsidR="00385638" w:rsidRDefault="00385638" w:rsidP="008A54F5">
          <w:pPr>
            <w:pStyle w:val="552Kopfblack"/>
          </w:pPr>
        </w:p>
      </w:tc>
    </w:tr>
  </w:tbl>
  <w:p w:rsidR="00385638" w:rsidRPr="00557D06" w:rsidRDefault="00385638" w:rsidP="00F0230D">
    <w:pPr>
      <w:pStyle w:val="Kopfzeile"/>
    </w:pPr>
    <w:r>
      <w:rPr>
        <w:noProof/>
      </w:rPr>
      <w:drawing>
        <wp:anchor distT="0" distB="0" distL="114300" distR="114300" simplePos="0" relativeHeight="251673600" behindDoc="0" locked="0" layoutInCell="1" allowOverlap="1" wp14:anchorId="29CE3D25" wp14:editId="680C7DB8">
          <wp:simplePos x="0" y="0"/>
          <wp:positionH relativeFrom="page">
            <wp:posOffset>4914900</wp:posOffset>
          </wp:positionH>
          <wp:positionV relativeFrom="page">
            <wp:posOffset>702310</wp:posOffset>
          </wp:positionV>
          <wp:extent cx="215900" cy="215900"/>
          <wp:effectExtent l="19050" t="0" r="0" b="0"/>
          <wp:wrapNone/>
          <wp:docPr id="29"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bottomFromText="113"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4728"/>
    </w:tblGrid>
    <w:tr w:rsidR="00385638" w:rsidTr="00F0230D">
      <w:trPr>
        <w:trHeight w:val="3799"/>
      </w:trPr>
      <w:tc>
        <w:tcPr>
          <w:tcW w:w="4728" w:type="dxa"/>
        </w:tcPr>
        <w:tbl>
          <w:tblPr>
            <w:tblpPr w:vertAnchor="text" w:tblpX="1" w:tblpY="1"/>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85638" w:rsidTr="00F0230D">
            <w:tc>
              <w:tcPr>
                <w:tcW w:w="1134" w:type="dxa"/>
              </w:tcPr>
              <w:p w:rsidR="00385638" w:rsidRDefault="00385638" w:rsidP="00F0230D">
                <w:pPr>
                  <w:pStyle w:val="00Vorgabetext"/>
                </w:pPr>
              </w:p>
            </w:tc>
            <w:tc>
              <w:tcPr>
                <w:tcW w:w="3594" w:type="dxa"/>
              </w:tcPr>
              <w:p w:rsidR="00385638" w:rsidRPr="00376A29" w:rsidRDefault="00385638" w:rsidP="00AE72F5">
                <w:pPr>
                  <w:pStyle w:val="55Kopf"/>
                </w:pPr>
                <w:r w:rsidRPr="0006014E">
                  <w:t>Kanton Zürich</w:t>
                </w:r>
              </w:p>
              <w:p w:rsidR="00385638" w:rsidRPr="00ED15AC" w:rsidRDefault="00385638" w:rsidP="00AE72F5">
                <w:pPr>
                  <w:pStyle w:val="55Kopf"/>
                  <w:rPr>
                    <w:b/>
                  </w:rPr>
                </w:pPr>
                <w:r w:rsidRPr="00ED15AC">
                  <w:rPr>
                    <w:b/>
                  </w:rPr>
                  <w:t>Direktion der Justiz und des Innern</w:t>
                </w:r>
              </w:p>
              <w:p w:rsidR="00385638" w:rsidRDefault="00385638" w:rsidP="00AE72F5">
                <w:pPr>
                  <w:pStyle w:val="55Kopf"/>
                </w:pPr>
                <w:r>
                  <w:t>Generalsekretariat</w:t>
                </w:r>
              </w:p>
              <w:p w:rsidR="00385638" w:rsidRDefault="00385638" w:rsidP="00AE72F5">
                <w:pPr>
                  <w:pStyle w:val="55Kopf"/>
                </w:pPr>
              </w:p>
              <w:p w:rsidR="00385638" w:rsidRDefault="00385638" w:rsidP="00AE72F5">
                <w:pPr>
                  <w:pStyle w:val="55Kopf"/>
                </w:pPr>
                <w:r>
                  <w:t>Neumühlequai 10</w:t>
                </w:r>
              </w:p>
              <w:p w:rsidR="00385638" w:rsidRDefault="00385638" w:rsidP="00AE72F5">
                <w:pPr>
                  <w:pStyle w:val="55Kopf"/>
                </w:pPr>
                <w:r>
                  <w:t>Postfach</w:t>
                </w:r>
              </w:p>
              <w:p w:rsidR="00385638" w:rsidRDefault="00385638" w:rsidP="00F0230D">
                <w:pPr>
                  <w:pStyle w:val="55Kopf"/>
                </w:pPr>
                <w:r>
                  <w:t xml:space="preserve">8090 Zürich </w:t>
                </w:r>
              </w:p>
            </w:tc>
          </w:tr>
          <w:tr w:rsidR="00385638" w:rsidTr="00F0230D">
            <w:tc>
              <w:tcPr>
                <w:tcW w:w="1134" w:type="dxa"/>
              </w:tcPr>
              <w:p w:rsidR="00385638" w:rsidRDefault="00385638" w:rsidP="00F0230D">
                <w:pPr>
                  <w:pStyle w:val="551Kopfref"/>
                </w:pPr>
              </w:p>
            </w:tc>
            <w:tc>
              <w:tcPr>
                <w:tcW w:w="3594" w:type="dxa"/>
              </w:tcPr>
              <w:p w:rsidR="00385638" w:rsidRDefault="00385638" w:rsidP="00111247">
                <w:pPr>
                  <w:pStyle w:val="55Kopf"/>
                </w:pPr>
              </w:p>
            </w:tc>
          </w:tr>
        </w:tbl>
        <w:p w:rsidR="00385638" w:rsidRDefault="00385638" w:rsidP="00F0230D">
          <w:pPr>
            <w:pStyle w:val="55Kopf"/>
          </w:pPr>
        </w:p>
      </w:tc>
    </w:tr>
  </w:tbl>
  <w:p w:rsidR="00385638" w:rsidRDefault="00385638" w:rsidP="00F0230D">
    <w:pPr>
      <w:pStyle w:val="Kopfzeile"/>
    </w:pPr>
    <w:r>
      <w:rPr>
        <w:noProof/>
      </w:rPr>
      <w:drawing>
        <wp:anchor distT="0" distB="0" distL="114300" distR="114300" simplePos="0" relativeHeight="251672576" behindDoc="0" locked="0" layoutInCell="1" allowOverlap="1" wp14:anchorId="423FEE69" wp14:editId="29AA0192">
          <wp:simplePos x="0" y="0"/>
          <wp:positionH relativeFrom="page">
            <wp:posOffset>4914900</wp:posOffset>
          </wp:positionH>
          <wp:positionV relativeFrom="page">
            <wp:posOffset>702310</wp:posOffset>
          </wp:positionV>
          <wp:extent cx="215900" cy="215900"/>
          <wp:effectExtent l="19050" t="0" r="0" b="0"/>
          <wp:wrapNone/>
          <wp:docPr id="30"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14:anchorId="7A0B0631" wp14:editId="13F982EF">
          <wp:simplePos x="0" y="0"/>
          <wp:positionH relativeFrom="column">
            <wp:posOffset>-900430</wp:posOffset>
          </wp:positionH>
          <wp:positionV relativeFrom="page">
            <wp:posOffset>269875</wp:posOffset>
          </wp:positionV>
          <wp:extent cx="831850" cy="1080135"/>
          <wp:effectExtent l="19050" t="0" r="6350" b="0"/>
          <wp:wrapNone/>
          <wp:docPr id="3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85638" w:rsidTr="00992D85">
      <w:tc>
        <w:tcPr>
          <w:tcW w:w="1134" w:type="dxa"/>
        </w:tcPr>
        <w:p w:rsidR="00385638" w:rsidRDefault="00385638" w:rsidP="00996822">
          <w:pPr>
            <w:pStyle w:val="00Vorgabetext"/>
          </w:pPr>
        </w:p>
      </w:tc>
      <w:tc>
        <w:tcPr>
          <w:tcW w:w="3594" w:type="dxa"/>
        </w:tcPr>
        <w:p w:rsidR="00385638" w:rsidRPr="00376A29" w:rsidRDefault="00385638" w:rsidP="00996822">
          <w:pPr>
            <w:pStyle w:val="55Kopf"/>
          </w:pPr>
        </w:p>
        <w:p w:rsidR="00385638" w:rsidRPr="00376A29" w:rsidRDefault="00385638" w:rsidP="00996822">
          <w:pPr>
            <w:pStyle w:val="55Kopf"/>
          </w:pPr>
        </w:p>
        <w:p w:rsidR="00385638" w:rsidRDefault="00385638" w:rsidP="00A119CB">
          <w:pPr>
            <w:pStyle w:val="55Kopf"/>
          </w:pPr>
          <w:r>
            <w:t xml:space="preserve">Seite </w:t>
          </w:r>
          <w:r>
            <w:fldChar w:fldCharType="begin"/>
          </w:r>
          <w:r>
            <w:instrText xml:space="preserve"> PAGE </w:instrText>
          </w:r>
          <w:r>
            <w:fldChar w:fldCharType="separate"/>
          </w:r>
          <w:r w:rsidR="004B0F70">
            <w:rPr>
              <w:noProof/>
            </w:rPr>
            <w:t>17</w:t>
          </w:r>
          <w:r>
            <w:fldChar w:fldCharType="end"/>
          </w:r>
        </w:p>
        <w:p w:rsidR="00385638" w:rsidRDefault="00385638" w:rsidP="00996822">
          <w:pPr>
            <w:pStyle w:val="55Kopf"/>
          </w:pPr>
        </w:p>
        <w:p w:rsidR="00385638" w:rsidRDefault="00385638" w:rsidP="00996822">
          <w:pPr>
            <w:pStyle w:val="55Kopf"/>
          </w:pPr>
        </w:p>
      </w:tc>
    </w:tr>
  </w:tbl>
  <w:p w:rsidR="00385638" w:rsidRPr="00355297" w:rsidRDefault="00385638" w:rsidP="0020063D">
    <w:pPr>
      <w:pStyle w:val="Kopfzeile"/>
    </w:pPr>
    <w:r>
      <w:rPr>
        <w:noProof/>
      </w:rPr>
      <w:drawing>
        <wp:anchor distT="0" distB="0" distL="114300" distR="114300" simplePos="0" relativeHeight="251669504" behindDoc="0" locked="0" layoutInCell="1" allowOverlap="1" wp14:anchorId="70D2A658" wp14:editId="5C4466B8">
          <wp:simplePos x="0" y="0"/>
          <wp:positionH relativeFrom="page">
            <wp:posOffset>4914900</wp:posOffset>
          </wp:positionH>
          <wp:positionV relativeFrom="page">
            <wp:posOffset>704850</wp:posOffset>
          </wp:positionV>
          <wp:extent cx="216000" cy="219600"/>
          <wp:effectExtent l="0" t="0" r="0" b="9525"/>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1134"/>
    </w:tblGrid>
    <w:tr w:rsidR="00385638" w:rsidTr="00F0230D">
      <w:tc>
        <w:tcPr>
          <w:tcW w:w="1134" w:type="dxa"/>
        </w:tcPr>
        <w:p w:rsidR="00385638" w:rsidRDefault="00385638" w:rsidP="00A119CB">
          <w:pPr>
            <w:pStyle w:val="00Vorgabetext"/>
          </w:pPr>
          <w:r>
            <w:rPr>
              <w:noProof/>
            </w:rPr>
            <w:drawing>
              <wp:anchor distT="0" distB="0" distL="114300" distR="114300" simplePos="0" relativeHeight="251683840" behindDoc="0" locked="0" layoutInCell="1" allowOverlap="1" wp14:anchorId="58938D65" wp14:editId="2FA44C4F">
                <wp:simplePos x="0" y="0"/>
                <wp:positionH relativeFrom="page">
                  <wp:posOffset>432490</wp:posOffset>
                </wp:positionH>
                <wp:positionV relativeFrom="page">
                  <wp:posOffset>230201</wp:posOffset>
                </wp:positionV>
                <wp:extent cx="215900" cy="215900"/>
                <wp:effectExtent l="19050" t="0" r="0" b="0"/>
                <wp:wrapNone/>
                <wp:docPr id="5"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tc>
      <w:tc>
        <w:tcPr>
          <w:tcW w:w="1134" w:type="dxa"/>
        </w:tcPr>
        <w:p w:rsidR="00385638" w:rsidRPr="00376A29" w:rsidRDefault="00385638" w:rsidP="00A119CB">
          <w:pPr>
            <w:pStyle w:val="55Kopf"/>
          </w:pPr>
        </w:p>
        <w:p w:rsidR="00385638" w:rsidRPr="00376A29" w:rsidRDefault="00385638" w:rsidP="00A119CB">
          <w:pPr>
            <w:pStyle w:val="55Kopf"/>
          </w:pPr>
        </w:p>
        <w:p w:rsidR="00385638" w:rsidRDefault="00385638" w:rsidP="00A119CB">
          <w:pPr>
            <w:pStyle w:val="55Kopf"/>
          </w:pPr>
          <w:r>
            <w:t xml:space="preserve">Seite </w:t>
          </w:r>
          <w:r>
            <w:fldChar w:fldCharType="begin"/>
          </w:r>
          <w:r>
            <w:instrText xml:space="preserve"> PAGE </w:instrText>
          </w:r>
          <w:r>
            <w:fldChar w:fldCharType="separate"/>
          </w:r>
          <w:r w:rsidR="004B0F70">
            <w:rPr>
              <w:noProof/>
            </w:rPr>
            <w:t>1</w:t>
          </w:r>
          <w:r>
            <w:fldChar w:fldCharType="end"/>
          </w:r>
        </w:p>
        <w:p w:rsidR="00385638" w:rsidRDefault="00385638" w:rsidP="00A119CB">
          <w:pPr>
            <w:pStyle w:val="55Kopf"/>
          </w:pPr>
        </w:p>
        <w:p w:rsidR="00385638" w:rsidRDefault="00385638" w:rsidP="00A119CB">
          <w:pPr>
            <w:pStyle w:val="55Kopf"/>
          </w:pPr>
        </w:p>
      </w:tc>
    </w:tr>
  </w:tbl>
  <w:p w:rsidR="00385638" w:rsidRDefault="00385638" w:rsidP="006B448B">
    <w:pPr>
      <w:pStyle w:val="55Kopf"/>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BD527D"/>
    <w:multiLevelType w:val="hybridMultilevel"/>
    <w:tmpl w:val="98E65C22"/>
    <w:lvl w:ilvl="0" w:tplc="DF00916A">
      <w:start w:val="1"/>
      <w:numFmt w:val="upperLetter"/>
      <w:pStyle w:val="Formatvorlage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6BC7F65"/>
    <w:multiLevelType w:val="multilevel"/>
    <w:tmpl w:val="AFDC1AC6"/>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pStyle w:val="37Titel4"/>
      <w:lvlText w:val="%2.%3.%4."/>
      <w:lvlJc w:val="left"/>
      <w:pPr>
        <w:tabs>
          <w:tab w:val="num" w:pos="851"/>
        </w:tabs>
        <w:ind w:left="851" w:hanging="851"/>
      </w:pPr>
      <w:rPr>
        <w:rFonts w:hint="default"/>
      </w:rPr>
    </w:lvl>
    <w:lvl w:ilvl="4">
      <w:start w:val="1"/>
      <w:numFmt w:val="decimal"/>
      <w:pStyle w:val="38Titel5"/>
      <w:lvlText w:val="%2.%3.%4.%5."/>
      <w:lvlJc w:val="left"/>
      <w:pPr>
        <w:tabs>
          <w:tab w:val="num" w:pos="1021"/>
        </w:tabs>
        <w:ind w:left="1021" w:hanging="102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4C2726"/>
    <w:multiLevelType w:val="hybridMultilevel"/>
    <w:tmpl w:val="140A1C44"/>
    <w:lvl w:ilvl="0" w:tplc="215AE846">
      <w:start w:val="6"/>
      <w:numFmt w:val="lowerLetter"/>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524E38"/>
    <w:multiLevelType w:val="multilevel"/>
    <w:tmpl w:val="89BEB4D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6E4348"/>
    <w:multiLevelType w:val="hybridMultilevel"/>
    <w:tmpl w:val="C00C0A6A"/>
    <w:lvl w:ilvl="0" w:tplc="C6483F38">
      <w:start w:val="1"/>
      <w:numFmt w:val="ordinal"/>
      <w:pStyle w:val="text3"/>
      <w:lvlText w:val="1.%1"/>
      <w:lvlJc w:val="left"/>
      <w:pPr>
        <w:ind w:left="720" w:hanging="360"/>
      </w:pPr>
      <w:rPr>
        <w:rFonts w:ascii="Arial Black" w:hAnsi="Arial Black" w:hint="default"/>
        <w:b w:val="0"/>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2" w15:restartNumberingAfterBreak="0">
    <w:nsid w:val="58AD3EB7"/>
    <w:multiLevelType w:val="hybridMultilevel"/>
    <w:tmpl w:val="8D544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427D4B"/>
    <w:multiLevelType w:val="hybridMultilevel"/>
    <w:tmpl w:val="DEC258B4"/>
    <w:lvl w:ilvl="0" w:tplc="68BA2A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6"/>
  </w:num>
  <w:num w:numId="3">
    <w:abstractNumId w:val="16"/>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3"/>
  </w:num>
  <w:num w:numId="12">
    <w:abstractNumId w:val="13"/>
  </w:num>
  <w:num w:numId="13">
    <w:abstractNumId w:val="13"/>
  </w:num>
  <w:num w:numId="14">
    <w:abstractNumId w:val="13"/>
  </w:num>
  <w:num w:numId="15">
    <w:abstractNumId w:val="12"/>
  </w:num>
  <w:num w:numId="16">
    <w:abstractNumId w:val="12"/>
  </w:num>
  <w:num w:numId="17">
    <w:abstractNumId w:val="14"/>
  </w:num>
  <w:num w:numId="18">
    <w:abstractNumId w:val="12"/>
  </w:num>
  <w:num w:numId="19">
    <w:abstractNumId w:val="12"/>
  </w:num>
  <w:num w:numId="20">
    <w:abstractNumId w:val="18"/>
  </w:num>
  <w:num w:numId="21">
    <w:abstractNumId w:val="16"/>
  </w:num>
  <w:num w:numId="22">
    <w:abstractNumId w:val="12"/>
  </w:num>
  <w:num w:numId="23">
    <w:abstractNumId w:val="13"/>
  </w:num>
  <w:num w:numId="24">
    <w:abstractNumId w:val="14"/>
  </w:num>
  <w:num w:numId="25">
    <w:abstractNumId w:val="18"/>
  </w:num>
  <w:num w:numId="26">
    <w:abstractNumId w:val="19"/>
  </w:num>
  <w:num w:numId="27">
    <w:abstractNumId w:val="19"/>
  </w:num>
  <w:num w:numId="28">
    <w:abstractNumId w:val="19"/>
  </w:num>
  <w:num w:numId="29">
    <w:abstractNumId w:val="19"/>
  </w:num>
  <w:num w:numId="30">
    <w:abstractNumId w:val="8"/>
  </w:num>
  <w:num w:numId="31">
    <w:abstractNumId w:val="24"/>
  </w:num>
  <w:num w:numId="32">
    <w:abstractNumId w:val="1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1"/>
    <w:lvlOverride w:ilvl="0">
      <w:lvl w:ilvl="0">
        <w:start w:val="1"/>
        <w:numFmt w:val="upperLetter"/>
        <w:pStyle w:val="34Titel1"/>
        <w:lvlText w:val="%1."/>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num>
  <w:num w:numId="44">
    <w:abstractNumId w:val="11"/>
  </w:num>
  <w:num w:numId="45">
    <w:abstractNumId w:val="10"/>
  </w:num>
  <w:num w:numId="46">
    <w:abstractNumId w:val="20"/>
  </w:num>
  <w:num w:numId="47">
    <w:abstractNumId w:val="15"/>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47"/>
    <w:rsid w:val="00013B5F"/>
    <w:rsid w:val="000307B8"/>
    <w:rsid w:val="000310E8"/>
    <w:rsid w:val="00031CB7"/>
    <w:rsid w:val="000551EB"/>
    <w:rsid w:val="00060E99"/>
    <w:rsid w:val="00061576"/>
    <w:rsid w:val="00061BED"/>
    <w:rsid w:val="0007136D"/>
    <w:rsid w:val="00073EF5"/>
    <w:rsid w:val="00092077"/>
    <w:rsid w:val="000A33A1"/>
    <w:rsid w:val="000B3EAA"/>
    <w:rsid w:val="000B73A4"/>
    <w:rsid w:val="000C17A9"/>
    <w:rsid w:val="000C50D1"/>
    <w:rsid w:val="000C685F"/>
    <w:rsid w:val="000D11E7"/>
    <w:rsid w:val="000D1A20"/>
    <w:rsid w:val="000D653C"/>
    <w:rsid w:val="000E08E0"/>
    <w:rsid w:val="000E5AFB"/>
    <w:rsid w:val="000F4496"/>
    <w:rsid w:val="00102381"/>
    <w:rsid w:val="00111247"/>
    <w:rsid w:val="00120A65"/>
    <w:rsid w:val="00122A9A"/>
    <w:rsid w:val="001278B3"/>
    <w:rsid w:val="00131857"/>
    <w:rsid w:val="00134437"/>
    <w:rsid w:val="0013687D"/>
    <w:rsid w:val="00146872"/>
    <w:rsid w:val="00151258"/>
    <w:rsid w:val="00153CDC"/>
    <w:rsid w:val="00155DF8"/>
    <w:rsid w:val="0015795A"/>
    <w:rsid w:val="00160B83"/>
    <w:rsid w:val="00165E94"/>
    <w:rsid w:val="001736B4"/>
    <w:rsid w:val="00176F7E"/>
    <w:rsid w:val="00181722"/>
    <w:rsid w:val="00181FEE"/>
    <w:rsid w:val="00193960"/>
    <w:rsid w:val="00194C55"/>
    <w:rsid w:val="001C1235"/>
    <w:rsid w:val="001D3A5B"/>
    <w:rsid w:val="001E1002"/>
    <w:rsid w:val="001E5E4E"/>
    <w:rsid w:val="001E6BC4"/>
    <w:rsid w:val="00200254"/>
    <w:rsid w:val="0020063D"/>
    <w:rsid w:val="00207C16"/>
    <w:rsid w:val="00210FDD"/>
    <w:rsid w:val="00214E59"/>
    <w:rsid w:val="00216579"/>
    <w:rsid w:val="002200E3"/>
    <w:rsid w:val="00227F06"/>
    <w:rsid w:val="00231892"/>
    <w:rsid w:val="00240168"/>
    <w:rsid w:val="002429EC"/>
    <w:rsid w:val="002500D9"/>
    <w:rsid w:val="00253B9F"/>
    <w:rsid w:val="00256261"/>
    <w:rsid w:val="002608A6"/>
    <w:rsid w:val="00260A87"/>
    <w:rsid w:val="00261F1D"/>
    <w:rsid w:val="00263606"/>
    <w:rsid w:val="00266B13"/>
    <w:rsid w:val="00274067"/>
    <w:rsid w:val="002804CC"/>
    <w:rsid w:val="00291EAF"/>
    <w:rsid w:val="002952D9"/>
    <w:rsid w:val="00297476"/>
    <w:rsid w:val="002B1BE6"/>
    <w:rsid w:val="002B2793"/>
    <w:rsid w:val="002B5259"/>
    <w:rsid w:val="002C72D0"/>
    <w:rsid w:val="002D1F7F"/>
    <w:rsid w:val="002D6935"/>
    <w:rsid w:val="002E7F8A"/>
    <w:rsid w:val="00307B80"/>
    <w:rsid w:val="00312C65"/>
    <w:rsid w:val="00312F17"/>
    <w:rsid w:val="00315DC3"/>
    <w:rsid w:val="00320924"/>
    <w:rsid w:val="00325038"/>
    <w:rsid w:val="0033603E"/>
    <w:rsid w:val="003376F7"/>
    <w:rsid w:val="0035209E"/>
    <w:rsid w:val="00352228"/>
    <w:rsid w:val="00352DD7"/>
    <w:rsid w:val="00355297"/>
    <w:rsid w:val="00361E88"/>
    <w:rsid w:val="00362582"/>
    <w:rsid w:val="003678BB"/>
    <w:rsid w:val="00370164"/>
    <w:rsid w:val="0037303E"/>
    <w:rsid w:val="00376E29"/>
    <w:rsid w:val="00385638"/>
    <w:rsid w:val="00392AEF"/>
    <w:rsid w:val="00393D45"/>
    <w:rsid w:val="003A2BDB"/>
    <w:rsid w:val="003A31EE"/>
    <w:rsid w:val="003A3BA3"/>
    <w:rsid w:val="003A49F9"/>
    <w:rsid w:val="003A6BCC"/>
    <w:rsid w:val="003B1FB2"/>
    <w:rsid w:val="003B6241"/>
    <w:rsid w:val="003D389D"/>
    <w:rsid w:val="003D67CA"/>
    <w:rsid w:val="003E1498"/>
    <w:rsid w:val="003F0840"/>
    <w:rsid w:val="00402B53"/>
    <w:rsid w:val="004146B5"/>
    <w:rsid w:val="00421A9C"/>
    <w:rsid w:val="00434E9F"/>
    <w:rsid w:val="00437C2E"/>
    <w:rsid w:val="0044474A"/>
    <w:rsid w:val="00451529"/>
    <w:rsid w:val="00453C5B"/>
    <w:rsid w:val="004541FA"/>
    <w:rsid w:val="00465905"/>
    <w:rsid w:val="00474FF9"/>
    <w:rsid w:val="00475182"/>
    <w:rsid w:val="0048393A"/>
    <w:rsid w:val="00486064"/>
    <w:rsid w:val="00486392"/>
    <w:rsid w:val="004918E1"/>
    <w:rsid w:val="00494B9E"/>
    <w:rsid w:val="004A7974"/>
    <w:rsid w:val="004B0F70"/>
    <w:rsid w:val="004B3868"/>
    <w:rsid w:val="004B5D10"/>
    <w:rsid w:val="004C5AB0"/>
    <w:rsid w:val="004D09F0"/>
    <w:rsid w:val="004D657F"/>
    <w:rsid w:val="004E32A1"/>
    <w:rsid w:val="004E5554"/>
    <w:rsid w:val="004F28AE"/>
    <w:rsid w:val="00501D08"/>
    <w:rsid w:val="00507045"/>
    <w:rsid w:val="005159CC"/>
    <w:rsid w:val="00525967"/>
    <w:rsid w:val="00525CCB"/>
    <w:rsid w:val="0053158F"/>
    <w:rsid w:val="00541957"/>
    <w:rsid w:val="005432B0"/>
    <w:rsid w:val="0055101F"/>
    <w:rsid w:val="0056346B"/>
    <w:rsid w:val="00564CA9"/>
    <w:rsid w:val="0057634D"/>
    <w:rsid w:val="005A0247"/>
    <w:rsid w:val="005A67FF"/>
    <w:rsid w:val="005B11C9"/>
    <w:rsid w:val="005B551E"/>
    <w:rsid w:val="005C1CFB"/>
    <w:rsid w:val="005C26AE"/>
    <w:rsid w:val="005C4212"/>
    <w:rsid w:val="005D0DCE"/>
    <w:rsid w:val="005D2DEE"/>
    <w:rsid w:val="005E220C"/>
    <w:rsid w:val="005E7D93"/>
    <w:rsid w:val="005F1FFB"/>
    <w:rsid w:val="005F7117"/>
    <w:rsid w:val="0060034F"/>
    <w:rsid w:val="0060232B"/>
    <w:rsid w:val="00611578"/>
    <w:rsid w:val="0062646E"/>
    <w:rsid w:val="006347A4"/>
    <w:rsid w:val="006478A5"/>
    <w:rsid w:val="00650381"/>
    <w:rsid w:val="00650A74"/>
    <w:rsid w:val="00652F5D"/>
    <w:rsid w:val="006542FD"/>
    <w:rsid w:val="00670006"/>
    <w:rsid w:val="00677E23"/>
    <w:rsid w:val="00695C8B"/>
    <w:rsid w:val="00696EC1"/>
    <w:rsid w:val="006A52A5"/>
    <w:rsid w:val="006A57D8"/>
    <w:rsid w:val="006B448B"/>
    <w:rsid w:val="006B6A3F"/>
    <w:rsid w:val="006C5876"/>
    <w:rsid w:val="006D01B0"/>
    <w:rsid w:val="006D5CAA"/>
    <w:rsid w:val="006D5DF2"/>
    <w:rsid w:val="006E4F60"/>
    <w:rsid w:val="006F0422"/>
    <w:rsid w:val="006F3FA4"/>
    <w:rsid w:val="006F7521"/>
    <w:rsid w:val="007002E1"/>
    <w:rsid w:val="0070764C"/>
    <w:rsid w:val="007123B0"/>
    <w:rsid w:val="0071346C"/>
    <w:rsid w:val="00722303"/>
    <w:rsid w:val="0073044E"/>
    <w:rsid w:val="0074599F"/>
    <w:rsid w:val="00752D5C"/>
    <w:rsid w:val="00753BCD"/>
    <w:rsid w:val="00767A2C"/>
    <w:rsid w:val="00771731"/>
    <w:rsid w:val="0077566B"/>
    <w:rsid w:val="00783BA9"/>
    <w:rsid w:val="00792CC5"/>
    <w:rsid w:val="00793DA3"/>
    <w:rsid w:val="00796492"/>
    <w:rsid w:val="007B00F6"/>
    <w:rsid w:val="007C55E5"/>
    <w:rsid w:val="007D4E3B"/>
    <w:rsid w:val="008028F5"/>
    <w:rsid w:val="00802E70"/>
    <w:rsid w:val="008043A3"/>
    <w:rsid w:val="00820784"/>
    <w:rsid w:val="00823A78"/>
    <w:rsid w:val="00825BD0"/>
    <w:rsid w:val="00825DE0"/>
    <w:rsid w:val="0085596E"/>
    <w:rsid w:val="00862128"/>
    <w:rsid w:val="00862A13"/>
    <w:rsid w:val="00864154"/>
    <w:rsid w:val="00880A3E"/>
    <w:rsid w:val="00891FC5"/>
    <w:rsid w:val="008A1ACB"/>
    <w:rsid w:val="008A54F5"/>
    <w:rsid w:val="008B484F"/>
    <w:rsid w:val="008B73FB"/>
    <w:rsid w:val="008C0188"/>
    <w:rsid w:val="008C13A3"/>
    <w:rsid w:val="008C1DE2"/>
    <w:rsid w:val="008C65BF"/>
    <w:rsid w:val="008D2334"/>
    <w:rsid w:val="008E3FFF"/>
    <w:rsid w:val="008F396D"/>
    <w:rsid w:val="008F5BE7"/>
    <w:rsid w:val="009036C0"/>
    <w:rsid w:val="00907DBE"/>
    <w:rsid w:val="00912AE8"/>
    <w:rsid w:val="0092167E"/>
    <w:rsid w:val="009243E4"/>
    <w:rsid w:val="0093400B"/>
    <w:rsid w:val="00934D98"/>
    <w:rsid w:val="00935829"/>
    <w:rsid w:val="00956E85"/>
    <w:rsid w:val="00964594"/>
    <w:rsid w:val="0097148B"/>
    <w:rsid w:val="00976301"/>
    <w:rsid w:val="00985E97"/>
    <w:rsid w:val="00990917"/>
    <w:rsid w:val="00992D85"/>
    <w:rsid w:val="00996822"/>
    <w:rsid w:val="009978F3"/>
    <w:rsid w:val="009B6F2B"/>
    <w:rsid w:val="009B78D1"/>
    <w:rsid w:val="009E02D0"/>
    <w:rsid w:val="009E58BA"/>
    <w:rsid w:val="00A001B4"/>
    <w:rsid w:val="00A07CAD"/>
    <w:rsid w:val="00A1136E"/>
    <w:rsid w:val="00A119CB"/>
    <w:rsid w:val="00A1277E"/>
    <w:rsid w:val="00A177DE"/>
    <w:rsid w:val="00A17C22"/>
    <w:rsid w:val="00A2250F"/>
    <w:rsid w:val="00A22DD8"/>
    <w:rsid w:val="00A32162"/>
    <w:rsid w:val="00A42094"/>
    <w:rsid w:val="00A42E6E"/>
    <w:rsid w:val="00A4768A"/>
    <w:rsid w:val="00A65FDF"/>
    <w:rsid w:val="00A70436"/>
    <w:rsid w:val="00A73524"/>
    <w:rsid w:val="00A817A7"/>
    <w:rsid w:val="00A82220"/>
    <w:rsid w:val="00A82494"/>
    <w:rsid w:val="00A86108"/>
    <w:rsid w:val="00AA4455"/>
    <w:rsid w:val="00AB1BA7"/>
    <w:rsid w:val="00AB1D8F"/>
    <w:rsid w:val="00AC231F"/>
    <w:rsid w:val="00AD0F2A"/>
    <w:rsid w:val="00AD1CBE"/>
    <w:rsid w:val="00AD51D3"/>
    <w:rsid w:val="00AE247A"/>
    <w:rsid w:val="00AE72F5"/>
    <w:rsid w:val="00B00704"/>
    <w:rsid w:val="00B064E8"/>
    <w:rsid w:val="00B122FF"/>
    <w:rsid w:val="00B41CF7"/>
    <w:rsid w:val="00B42A65"/>
    <w:rsid w:val="00B463EC"/>
    <w:rsid w:val="00B5370F"/>
    <w:rsid w:val="00B7272B"/>
    <w:rsid w:val="00B745C6"/>
    <w:rsid w:val="00B83628"/>
    <w:rsid w:val="00BA7563"/>
    <w:rsid w:val="00BC2FF9"/>
    <w:rsid w:val="00BC676A"/>
    <w:rsid w:val="00BD1EAC"/>
    <w:rsid w:val="00BD24FD"/>
    <w:rsid w:val="00BD3D3D"/>
    <w:rsid w:val="00BD433B"/>
    <w:rsid w:val="00BD5502"/>
    <w:rsid w:val="00BF71AA"/>
    <w:rsid w:val="00C04946"/>
    <w:rsid w:val="00C129BE"/>
    <w:rsid w:val="00C13190"/>
    <w:rsid w:val="00C14160"/>
    <w:rsid w:val="00C1429F"/>
    <w:rsid w:val="00C1433A"/>
    <w:rsid w:val="00C2132B"/>
    <w:rsid w:val="00C22EC3"/>
    <w:rsid w:val="00C361C3"/>
    <w:rsid w:val="00C4280B"/>
    <w:rsid w:val="00C620DF"/>
    <w:rsid w:val="00C707E2"/>
    <w:rsid w:val="00C74248"/>
    <w:rsid w:val="00C81BD1"/>
    <w:rsid w:val="00C8467F"/>
    <w:rsid w:val="00C85175"/>
    <w:rsid w:val="00C85AD1"/>
    <w:rsid w:val="00C86C88"/>
    <w:rsid w:val="00C95359"/>
    <w:rsid w:val="00CA0B5E"/>
    <w:rsid w:val="00CB2E64"/>
    <w:rsid w:val="00CC7738"/>
    <w:rsid w:val="00CD57BB"/>
    <w:rsid w:val="00CD5F7F"/>
    <w:rsid w:val="00CD613E"/>
    <w:rsid w:val="00D10F73"/>
    <w:rsid w:val="00D133AF"/>
    <w:rsid w:val="00D21B0C"/>
    <w:rsid w:val="00D33DF3"/>
    <w:rsid w:val="00D379CF"/>
    <w:rsid w:val="00D51ABE"/>
    <w:rsid w:val="00D520FA"/>
    <w:rsid w:val="00D576B9"/>
    <w:rsid w:val="00D60033"/>
    <w:rsid w:val="00D6538F"/>
    <w:rsid w:val="00D85A7A"/>
    <w:rsid w:val="00D85CEA"/>
    <w:rsid w:val="00D91E11"/>
    <w:rsid w:val="00D95930"/>
    <w:rsid w:val="00DA6321"/>
    <w:rsid w:val="00DA7A07"/>
    <w:rsid w:val="00DA7D23"/>
    <w:rsid w:val="00DB0D70"/>
    <w:rsid w:val="00DC011A"/>
    <w:rsid w:val="00DD7C89"/>
    <w:rsid w:val="00DE2824"/>
    <w:rsid w:val="00DE59BC"/>
    <w:rsid w:val="00E006B5"/>
    <w:rsid w:val="00E02380"/>
    <w:rsid w:val="00E07173"/>
    <w:rsid w:val="00E13A3F"/>
    <w:rsid w:val="00E16DF7"/>
    <w:rsid w:val="00E251AE"/>
    <w:rsid w:val="00E323C1"/>
    <w:rsid w:val="00E33319"/>
    <w:rsid w:val="00E46596"/>
    <w:rsid w:val="00E52A57"/>
    <w:rsid w:val="00E57764"/>
    <w:rsid w:val="00E6747C"/>
    <w:rsid w:val="00E86853"/>
    <w:rsid w:val="00E94DC9"/>
    <w:rsid w:val="00E9630F"/>
    <w:rsid w:val="00E9702F"/>
    <w:rsid w:val="00EA271B"/>
    <w:rsid w:val="00EB6080"/>
    <w:rsid w:val="00EB7DED"/>
    <w:rsid w:val="00EC5E43"/>
    <w:rsid w:val="00EE0547"/>
    <w:rsid w:val="00EE2E57"/>
    <w:rsid w:val="00EE6255"/>
    <w:rsid w:val="00EF3DC6"/>
    <w:rsid w:val="00F0230D"/>
    <w:rsid w:val="00F12977"/>
    <w:rsid w:val="00F231AE"/>
    <w:rsid w:val="00F23637"/>
    <w:rsid w:val="00F236A7"/>
    <w:rsid w:val="00F2606D"/>
    <w:rsid w:val="00F3723B"/>
    <w:rsid w:val="00F4469E"/>
    <w:rsid w:val="00F53D73"/>
    <w:rsid w:val="00F553ED"/>
    <w:rsid w:val="00F61707"/>
    <w:rsid w:val="00F6595F"/>
    <w:rsid w:val="00F65A21"/>
    <w:rsid w:val="00F67F87"/>
    <w:rsid w:val="00F7205A"/>
    <w:rsid w:val="00F735BE"/>
    <w:rsid w:val="00F745B0"/>
    <w:rsid w:val="00F750AD"/>
    <w:rsid w:val="00F7553C"/>
    <w:rsid w:val="00F7715C"/>
    <w:rsid w:val="00F81086"/>
    <w:rsid w:val="00F82997"/>
    <w:rsid w:val="00F94E88"/>
    <w:rsid w:val="00F9722A"/>
    <w:rsid w:val="00FA373E"/>
    <w:rsid w:val="00FA7192"/>
    <w:rsid w:val="00FA71AD"/>
    <w:rsid w:val="00FA71D9"/>
    <w:rsid w:val="00FB16A7"/>
    <w:rsid w:val="00FB332B"/>
    <w:rsid w:val="00FC168D"/>
    <w:rsid w:val="00FC7EA4"/>
    <w:rsid w:val="00FD23EE"/>
    <w:rsid w:val="00FD7237"/>
    <w:rsid w:val="00FD7A8E"/>
    <w:rsid w:val="00FE6A27"/>
    <w:rsid w:val="00FF1AED"/>
    <w:rsid w:val="00FF1F08"/>
    <w:rsid w:val="00FF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E5FCF6"/>
  <w15:docId w15:val="{98B38218-EAE3-41A1-88EB-33FB3C42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semiHidden="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E57764"/>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eastAsia="Times New Roman" w:hAnsi="Arial" w:cs="Times New Roman"/>
      <w:lang w:val="de-CH" w:eastAsia="de-CH"/>
    </w:rPr>
  </w:style>
  <w:style w:type="paragraph" w:styleId="berschrift1">
    <w:name w:val="heading 1"/>
    <w:basedOn w:val="Standard"/>
    <w:next w:val="Standard"/>
    <w:link w:val="berschrift1Zchn"/>
    <w:uiPriority w:val="9"/>
    <w:semiHidden/>
    <w:rsid w:val="00312C65"/>
    <w:pPr>
      <w:keepNext/>
      <w:keepLines/>
      <w:numPr>
        <w:numId w:val="33"/>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33"/>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33"/>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33"/>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33"/>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33"/>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21"/>
      </w:numPr>
    </w:pPr>
  </w:style>
  <w:style w:type="paragraph" w:customStyle="1" w:styleId="14Aufz2Stufe">
    <w:name w:val="14 Aufz.2.Stufe"/>
    <w:basedOn w:val="Standard"/>
    <w:qFormat/>
    <w:rsid w:val="00C707E2"/>
    <w:pPr>
      <w:numPr>
        <w:ilvl w:val="1"/>
        <w:numId w:val="21"/>
      </w:numPr>
      <w:tabs>
        <w:tab w:val="clear" w:pos="397"/>
      </w:tabs>
    </w:pPr>
  </w:style>
  <w:style w:type="paragraph" w:customStyle="1" w:styleId="15AufzDispo1Stufe">
    <w:name w:val="15 Aufz. Dispo 1. Stufe"/>
    <w:basedOn w:val="Standard"/>
    <w:qFormat/>
    <w:rsid w:val="00C707E2"/>
    <w:pPr>
      <w:numPr>
        <w:ilvl w:val="2"/>
        <w:numId w:val="21"/>
      </w:numPr>
      <w:tabs>
        <w:tab w:val="clear" w:pos="397"/>
      </w:tabs>
    </w:pPr>
  </w:style>
  <w:style w:type="paragraph" w:customStyle="1" w:styleId="16AufzDispo2Stufe">
    <w:name w:val="16 Aufz. Dispo 2. Stufe"/>
    <w:basedOn w:val="Standard"/>
    <w:qFormat/>
    <w:rsid w:val="00C707E2"/>
    <w:pPr>
      <w:numPr>
        <w:ilvl w:val="3"/>
        <w:numId w:val="21"/>
      </w:numPr>
      <w:tabs>
        <w:tab w:val="clear" w:pos="397"/>
        <w:tab w:val="clear" w:pos="794"/>
      </w:tabs>
    </w:pPr>
  </w:style>
  <w:style w:type="paragraph" w:customStyle="1" w:styleId="21NumAbsatz1">
    <w:name w:val="21 Num.Absatz1."/>
    <w:basedOn w:val="Standard"/>
    <w:qFormat/>
    <w:rsid w:val="00C707E2"/>
    <w:pPr>
      <w:numPr>
        <w:numId w:val="24"/>
      </w:numPr>
    </w:pPr>
  </w:style>
  <w:style w:type="paragraph" w:customStyle="1" w:styleId="23NumAbsatzA">
    <w:name w:val="23 Num.AbsatzA"/>
    <w:basedOn w:val="Standard"/>
    <w:qFormat/>
    <w:rsid w:val="00C707E2"/>
    <w:pPr>
      <w:numPr>
        <w:ilvl w:val="1"/>
        <w:numId w:val="24"/>
      </w:numPr>
      <w:tabs>
        <w:tab w:val="clear" w:pos="397"/>
      </w:tabs>
    </w:pPr>
  </w:style>
  <w:style w:type="paragraph" w:customStyle="1" w:styleId="24NumDispo1">
    <w:name w:val="24 Num. Dispo 1."/>
    <w:basedOn w:val="Standard"/>
    <w:qFormat/>
    <w:rsid w:val="00C707E2"/>
    <w:pPr>
      <w:numPr>
        <w:ilvl w:val="2"/>
        <w:numId w:val="24"/>
      </w:numPr>
      <w:tabs>
        <w:tab w:val="clear" w:pos="397"/>
      </w:tabs>
    </w:pPr>
  </w:style>
  <w:style w:type="paragraph" w:customStyle="1" w:styleId="25NumDispoI">
    <w:name w:val="25 Num. Dispo I"/>
    <w:basedOn w:val="Standard"/>
    <w:qFormat/>
    <w:rsid w:val="00C707E2"/>
    <w:pPr>
      <w:numPr>
        <w:ilvl w:val="3"/>
        <w:numId w:val="24"/>
      </w:numPr>
      <w:tabs>
        <w:tab w:val="clear" w:pos="397"/>
      </w:tabs>
    </w:pPr>
  </w:style>
  <w:style w:type="paragraph" w:customStyle="1" w:styleId="26NumDispoa">
    <w:name w:val="26 Num. Dispo a)"/>
    <w:basedOn w:val="Standard"/>
    <w:qFormat/>
    <w:rsid w:val="00C707E2"/>
    <w:pPr>
      <w:numPr>
        <w:ilvl w:val="4"/>
        <w:numId w:val="24"/>
      </w:numPr>
      <w:tabs>
        <w:tab w:val="clear" w:pos="397"/>
        <w:tab w:val="clear" w:pos="794"/>
      </w:tabs>
    </w:pPr>
  </w:style>
  <w:style w:type="paragraph" w:customStyle="1" w:styleId="31Formulartitel">
    <w:name w:val="31 Formulartitel"/>
    <w:basedOn w:val="Standard"/>
    <w:next w:val="00Vorgabetext"/>
    <w:semiHidden/>
    <w:qFormat/>
    <w:rsid w:val="00C707E2"/>
    <w:pPr>
      <w:keepNext/>
      <w:keepLines/>
      <w:numPr>
        <w:numId w:val="23"/>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23"/>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semiHidden/>
    <w:qFormat/>
    <w:rsid w:val="00C707E2"/>
    <w:pPr>
      <w:keepNext/>
      <w:keepLines/>
      <w:numPr>
        <w:ilvl w:val="2"/>
        <w:numId w:val="23"/>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23"/>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23"/>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22"/>
      </w:numPr>
      <w:tabs>
        <w:tab w:val="clear" w:pos="397"/>
      </w:tabs>
      <w:ind w:right="3969"/>
    </w:pPr>
  </w:style>
  <w:style w:type="paragraph" w:customStyle="1" w:styleId="431AufzProtokollnotiz">
    <w:name w:val="431 Aufz. Protokollnotiz"/>
    <w:basedOn w:val="Standard"/>
    <w:semiHidden/>
    <w:qFormat/>
    <w:rsid w:val="00C707E2"/>
    <w:pPr>
      <w:numPr>
        <w:numId w:val="22"/>
      </w:numPr>
      <w:ind w:right="3969"/>
    </w:pPr>
  </w:style>
  <w:style w:type="paragraph" w:customStyle="1" w:styleId="44RmischeNum">
    <w:name w:val="44 Römische Num"/>
    <w:basedOn w:val="Standard"/>
    <w:qFormat/>
    <w:rsid w:val="00C707E2"/>
    <w:pPr>
      <w:numPr>
        <w:ilvl w:val="5"/>
        <w:numId w:val="24"/>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F23637"/>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22"/>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22"/>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25"/>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15"/>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uiPriority w:val="99"/>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10"/>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5"/>
      </w:numPr>
    </w:pPr>
  </w:style>
  <w:style w:type="numbering" w:customStyle="1" w:styleId="NummerierungZusatz">
    <w:name w:val="NummerierungZusatz"/>
    <w:basedOn w:val="KeineListe"/>
    <w:semiHidden/>
    <w:rsid w:val="00C707E2"/>
    <w:pPr>
      <w:numPr>
        <w:numId w:val="20"/>
      </w:numPr>
    </w:pPr>
  </w:style>
  <w:style w:type="character" w:styleId="Seitenzahl">
    <w:name w:val="page number"/>
    <w:basedOn w:val="Absatz-Standardschriftart"/>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sz w:val="24"/>
      <w:szCs w:val="24"/>
    </w:rPr>
  </w:style>
  <w:style w:type="table" w:styleId="Tabellenraster">
    <w:name w:val="Table Grid"/>
    <w:basedOn w:val="NormaleTabelle"/>
    <w:rsid w:val="00C707E2"/>
    <w:pPr>
      <w:spacing w:before="120" w:after="0" w:line="240" w:lineRule="auto"/>
    </w:pPr>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b/>
      <w:sz w:val="24"/>
    </w:rPr>
  </w:style>
  <w:style w:type="paragraph" w:styleId="Verzeichnis2">
    <w:name w:val="toc 2"/>
    <w:basedOn w:val="Standard"/>
    <w:next w:val="Standard"/>
    <w:autoRedefine/>
    <w:uiPriority w:val="39"/>
    <w:rsid w:val="00060E99"/>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rFonts w:asciiTheme="majorHAnsi" w:hAnsiTheme="majorHAnsi"/>
      <w:b/>
      <w:sz w:val="24"/>
    </w:rPr>
  </w:style>
  <w:style w:type="paragraph" w:styleId="Verzeichnis3">
    <w:name w:val="toc 3"/>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rPr>
      <w:rFonts w:asciiTheme="majorHAnsi" w:hAnsiTheme="majorHAnsi"/>
    </w:rPr>
  </w:style>
  <w:style w:type="paragraph" w:styleId="Verzeichnis4">
    <w:name w:val="toc 4"/>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ind w:left="851" w:hanging="851"/>
    </w:pPr>
  </w:style>
  <w:style w:type="paragraph" w:styleId="Verzeichnis5">
    <w:name w:val="toc 5"/>
    <w:basedOn w:val="Standard"/>
    <w:next w:val="Standard"/>
    <w:autoRedefine/>
    <w:uiPriority w:val="39"/>
    <w:rsid w:val="0074599F"/>
    <w:pPr>
      <w:keepLines/>
      <w:tabs>
        <w:tab w:val="clear" w:pos="397"/>
        <w:tab w:val="clear" w:pos="794"/>
        <w:tab w:val="clear" w:pos="1191"/>
        <w:tab w:val="clear" w:pos="4479"/>
        <w:tab w:val="clear" w:pos="4876"/>
        <w:tab w:val="clear" w:pos="5273"/>
        <w:tab w:val="clear" w:pos="5670"/>
        <w:tab w:val="clear" w:pos="6067"/>
        <w:tab w:val="clear" w:pos="7938"/>
        <w:tab w:val="left" w:pos="851"/>
        <w:tab w:val="left" w:pos="8364"/>
        <w:tab w:val="left" w:pos="8420"/>
      </w:tabs>
      <w:ind w:left="851" w:hanging="851"/>
    </w:pPr>
    <w:rPr>
      <w:rFonts w:asciiTheme="minorHAnsi" w:eastAsiaTheme="minorEastAsia" w:hAnsiTheme="minorHAnsi" w:cstheme="minorBidi"/>
      <w:noProof/>
    </w:rPr>
  </w:style>
  <w:style w:type="paragraph" w:styleId="Verzeichnis6">
    <w:name w:val="toc 6"/>
    <w:basedOn w:val="Standard"/>
    <w:next w:val="Standard"/>
    <w:autoRedefine/>
    <w:uiPriority w:val="39"/>
    <w:rsid w:val="00AD1CBE"/>
    <w:pPr>
      <w:keepLines/>
      <w:tabs>
        <w:tab w:val="clear" w:pos="397"/>
        <w:tab w:val="clear" w:pos="794"/>
        <w:tab w:val="clear" w:pos="1191"/>
        <w:tab w:val="clear" w:pos="4479"/>
        <w:tab w:val="clear" w:pos="4876"/>
        <w:tab w:val="clear" w:pos="5273"/>
        <w:tab w:val="clear" w:pos="5670"/>
        <w:tab w:val="clear" w:pos="6067"/>
        <w:tab w:val="clear" w:pos="7938"/>
        <w:tab w:val="left" w:pos="851"/>
        <w:tab w:val="left" w:pos="8364"/>
      </w:tabs>
      <w:ind w:left="851" w:hanging="851"/>
    </w:pPr>
    <w:rPr>
      <w:rFonts w:asciiTheme="majorHAnsi" w:hAnsiTheme="majorHAnsi"/>
    </w:rPr>
  </w:style>
  <w:style w:type="paragraph" w:customStyle="1" w:styleId="70Zusammenfassung">
    <w:name w:val="70 Zusammenfassung"/>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Formatvorlage1">
    <w:name w:val="Formatvorlage1"/>
    <w:basedOn w:val="00Vorgabetext"/>
    <w:rsid w:val="001736B4"/>
    <w:pPr>
      <w:numPr>
        <w:numId w:val="45"/>
      </w:numPr>
      <w:tabs>
        <w:tab w:val="left" w:pos="851"/>
      </w:tabs>
      <w:spacing w:before="240" w:after="240"/>
      <w:ind w:left="360"/>
    </w:pPr>
    <w:rPr>
      <w:rFonts w:ascii="Arial Black" w:eastAsia="Arial Unicode MS" w:hAnsi="Arial Black"/>
      <w:sz w:val="24"/>
    </w:rPr>
  </w:style>
  <w:style w:type="paragraph" w:customStyle="1" w:styleId="text3">
    <w:name w:val="text3"/>
    <w:basedOn w:val="00Vorgabetext"/>
    <w:rsid w:val="004D09F0"/>
    <w:pPr>
      <w:numPr>
        <w:numId w:val="46"/>
      </w:numPr>
      <w:tabs>
        <w:tab w:val="left" w:pos="851"/>
      </w:tabs>
      <w:ind w:left="360"/>
    </w:pPr>
    <w:rPr>
      <w:rFonts w:eastAsia="Arial Unicode MS"/>
      <w:b/>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31"/>
      </w:numPr>
    </w:pPr>
  </w:style>
  <w:style w:type="numbering" w:styleId="1ai">
    <w:name w:val="Outline List 1"/>
    <w:basedOn w:val="KeineListe"/>
    <w:uiPriority w:val="99"/>
    <w:semiHidden/>
    <w:unhideWhenUsed/>
    <w:rsid w:val="00312C65"/>
    <w:pPr>
      <w:numPr>
        <w:numId w:val="32"/>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33"/>
      </w:numPr>
    </w:pPr>
  </w:style>
  <w:style w:type="paragraph" w:styleId="Aufzhlungszeichen">
    <w:name w:val="List Bullet"/>
    <w:basedOn w:val="Standard"/>
    <w:uiPriority w:val="99"/>
    <w:semiHidden/>
    <w:rsid w:val="00312C65"/>
    <w:pPr>
      <w:numPr>
        <w:numId w:val="34"/>
      </w:numPr>
      <w:contextualSpacing/>
    </w:pPr>
  </w:style>
  <w:style w:type="paragraph" w:styleId="Aufzhlungszeichen2">
    <w:name w:val="List Bullet 2"/>
    <w:basedOn w:val="Standard"/>
    <w:uiPriority w:val="99"/>
    <w:semiHidden/>
    <w:rsid w:val="00312C65"/>
    <w:pPr>
      <w:numPr>
        <w:numId w:val="35"/>
      </w:numPr>
      <w:contextualSpacing/>
    </w:pPr>
  </w:style>
  <w:style w:type="paragraph" w:styleId="Aufzhlungszeichen3">
    <w:name w:val="List Bullet 3"/>
    <w:basedOn w:val="Standard"/>
    <w:uiPriority w:val="99"/>
    <w:semiHidden/>
    <w:rsid w:val="00312C65"/>
    <w:pPr>
      <w:numPr>
        <w:numId w:val="36"/>
      </w:numPr>
      <w:contextualSpacing/>
    </w:pPr>
  </w:style>
  <w:style w:type="paragraph" w:styleId="Aufzhlungszeichen4">
    <w:name w:val="List Bullet 4"/>
    <w:basedOn w:val="Standard"/>
    <w:uiPriority w:val="99"/>
    <w:semiHidden/>
    <w:rsid w:val="00312C65"/>
    <w:pPr>
      <w:numPr>
        <w:numId w:val="37"/>
      </w:numPr>
      <w:contextualSpacing/>
    </w:pPr>
  </w:style>
  <w:style w:type="paragraph" w:styleId="Aufzhlungszeichen5">
    <w:name w:val="List Bullet 5"/>
    <w:basedOn w:val="Standard"/>
    <w:uiPriority w:val="99"/>
    <w:semiHidden/>
    <w:rsid w:val="00312C65"/>
    <w:pPr>
      <w:numPr>
        <w:numId w:val="38"/>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qFormat/>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autoRedefine/>
    <w:uiPriority w:val="99"/>
    <w:rsid w:val="00307B80"/>
    <w:pPr>
      <w:spacing w:before="0"/>
    </w:pPr>
    <w:rPr>
      <w:sz w:val="18"/>
      <w:szCs w:val="18"/>
    </w:rPr>
  </w:style>
  <w:style w:type="character" w:customStyle="1" w:styleId="FunotentextZchn">
    <w:name w:val="Fußnotentext Zchn"/>
    <w:basedOn w:val="Absatz-Standardschriftart"/>
    <w:link w:val="Funotentext"/>
    <w:uiPriority w:val="99"/>
    <w:rsid w:val="00307B80"/>
    <w:rPr>
      <w:rFonts w:ascii="Arial" w:eastAsia="Times New Roman" w:hAnsi="Arial" w:cs="Times New Roman"/>
      <w:sz w:val="18"/>
      <w:szCs w:val="18"/>
      <w:lang w:val="de-CH" w:eastAsia="de-CH"/>
    </w:rPr>
  </w:style>
  <w:style w:type="character" w:styleId="Funotenzeichen">
    <w:name w:val="footnote reference"/>
    <w:basedOn w:val="Absatz-Standardschriftart"/>
    <w:uiPriority w:val="99"/>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eastAsia="Times New Roman"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semiHidden/>
    <w:rsid w:val="00312C65"/>
    <w:pPr>
      <w:numPr>
        <w:numId w:val="30"/>
      </w:numPr>
      <w:contextualSpacing/>
    </w:pPr>
  </w:style>
  <w:style w:type="paragraph" w:styleId="Listennummer2">
    <w:name w:val="List Number 2"/>
    <w:basedOn w:val="Standard"/>
    <w:uiPriority w:val="99"/>
    <w:semiHidden/>
    <w:rsid w:val="00312C65"/>
    <w:pPr>
      <w:numPr>
        <w:numId w:val="39"/>
      </w:numPr>
      <w:contextualSpacing/>
    </w:pPr>
  </w:style>
  <w:style w:type="paragraph" w:styleId="Listennummer3">
    <w:name w:val="List Number 3"/>
    <w:basedOn w:val="Standard"/>
    <w:uiPriority w:val="99"/>
    <w:semiHidden/>
    <w:rsid w:val="00312C65"/>
    <w:pPr>
      <w:numPr>
        <w:numId w:val="40"/>
      </w:numPr>
      <w:contextualSpacing/>
    </w:pPr>
  </w:style>
  <w:style w:type="paragraph" w:styleId="Listennummer4">
    <w:name w:val="List Number 4"/>
    <w:basedOn w:val="Standard"/>
    <w:uiPriority w:val="99"/>
    <w:semiHidden/>
    <w:rsid w:val="00312C65"/>
    <w:pPr>
      <w:numPr>
        <w:numId w:val="41"/>
      </w:numPr>
      <w:contextualSpacing/>
    </w:pPr>
  </w:style>
  <w:style w:type="paragraph" w:styleId="Listennummer5">
    <w:name w:val="List Number 5"/>
    <w:basedOn w:val="Standard"/>
    <w:uiPriority w:val="99"/>
    <w:semiHidden/>
    <w:rsid w:val="00312C65"/>
    <w:pPr>
      <w:numPr>
        <w:numId w:val="42"/>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character" w:customStyle="1" w:styleId="35Titel2ZchnZchn">
    <w:name w:val="35 Titel 2 Zchn Zchn"/>
    <w:basedOn w:val="Absatz-Standardschriftart"/>
    <w:link w:val="35Titel2"/>
    <w:rsid w:val="00102381"/>
    <w:rPr>
      <w:rFonts w:ascii="Arial Black" w:eastAsia="Arial Unicode MS" w:hAnsi="Arial Black" w:cs="Arial"/>
      <w:sz w:val="28"/>
    </w:rPr>
  </w:style>
  <w:style w:type="paragraph" w:customStyle="1" w:styleId="34Titel1">
    <w:name w:val="34 Titel 1"/>
    <w:basedOn w:val="Standard"/>
    <w:next w:val="35Titel2"/>
    <w:autoRedefine/>
    <w:qFormat/>
    <w:rsid w:val="00B5370F"/>
    <w:pPr>
      <w:keepNext/>
      <w:keepLines/>
      <w:numPr>
        <w:numId w:val="43"/>
      </w:numPr>
      <w:tabs>
        <w:tab w:val="clear" w:pos="397"/>
        <w:tab w:val="clear" w:pos="567"/>
        <w:tab w:val="clear" w:pos="794"/>
        <w:tab w:val="clear" w:pos="1191"/>
        <w:tab w:val="clear" w:pos="7938"/>
        <w:tab w:val="decimal" w:pos="7937"/>
      </w:tabs>
      <w:kinsoku w:val="0"/>
      <w:overflowPunct w:val="0"/>
      <w:autoSpaceDE w:val="0"/>
      <w:autoSpaceDN w:val="0"/>
      <w:spacing w:before="360" w:after="240"/>
      <w:ind w:left="851" w:hanging="851"/>
      <w:outlineLvl w:val="0"/>
    </w:pPr>
    <w:rPr>
      <w:rFonts w:ascii="Arial Black" w:eastAsia="Arial Unicode MS" w:hAnsi="Arial Black" w:cs="Arial"/>
      <w:sz w:val="32"/>
    </w:rPr>
  </w:style>
  <w:style w:type="paragraph" w:customStyle="1" w:styleId="35Titel2">
    <w:name w:val="35 Titel 2"/>
    <w:basedOn w:val="Standard"/>
    <w:next w:val="00Vorgabetext"/>
    <w:link w:val="35Titel2ZchnZchn"/>
    <w:autoRedefine/>
    <w:qFormat/>
    <w:rsid w:val="00102381"/>
    <w:pPr>
      <w:keepNext/>
      <w:keepLines/>
      <w:numPr>
        <w:ilvl w:val="1"/>
        <w:numId w:val="43"/>
      </w:numPr>
      <w:tabs>
        <w:tab w:val="clear" w:pos="397"/>
        <w:tab w:val="clear" w:pos="567"/>
        <w:tab w:val="clear" w:pos="794"/>
        <w:tab w:val="clear" w:pos="1191"/>
        <w:tab w:val="clear" w:pos="4479"/>
        <w:tab w:val="clear" w:pos="4876"/>
        <w:tab w:val="clear" w:pos="5273"/>
        <w:tab w:val="clear" w:pos="5670"/>
        <w:tab w:val="clear" w:pos="6067"/>
        <w:tab w:val="clear" w:pos="7938"/>
      </w:tabs>
      <w:kinsoku w:val="0"/>
      <w:overflowPunct w:val="0"/>
      <w:autoSpaceDE w:val="0"/>
      <w:autoSpaceDN w:val="0"/>
      <w:spacing w:before="360" w:after="120"/>
      <w:ind w:left="851" w:hanging="851"/>
    </w:pPr>
    <w:rPr>
      <w:rFonts w:ascii="Arial Black" w:eastAsia="Arial Unicode MS" w:hAnsi="Arial Black" w:cs="Arial"/>
      <w:sz w:val="28"/>
      <w:lang w:val="de-DE" w:eastAsia="en-US"/>
    </w:rPr>
  </w:style>
  <w:style w:type="paragraph" w:customStyle="1" w:styleId="36Titel3">
    <w:name w:val="36 Titel 3"/>
    <w:basedOn w:val="Standard"/>
    <w:next w:val="00Vorgabetext"/>
    <w:autoRedefine/>
    <w:qFormat/>
    <w:rsid w:val="00B5370F"/>
    <w:pPr>
      <w:keepNext/>
      <w:keepLines/>
      <w:numPr>
        <w:ilvl w:val="2"/>
        <w:numId w:val="43"/>
      </w:numPr>
      <w:tabs>
        <w:tab w:val="clear" w:pos="397"/>
        <w:tab w:val="clear" w:pos="567"/>
        <w:tab w:val="clear" w:pos="794"/>
        <w:tab w:val="clear" w:pos="1191"/>
        <w:tab w:val="clear" w:pos="4479"/>
        <w:tab w:val="clear" w:pos="4876"/>
        <w:tab w:val="clear" w:pos="5273"/>
        <w:tab w:val="clear" w:pos="5670"/>
        <w:tab w:val="clear" w:pos="6067"/>
        <w:tab w:val="clear" w:pos="7938"/>
        <w:tab w:val="left" w:pos="851"/>
      </w:tabs>
      <w:kinsoku w:val="0"/>
      <w:overflowPunct w:val="0"/>
      <w:autoSpaceDE w:val="0"/>
      <w:autoSpaceDN w:val="0"/>
      <w:spacing w:before="240" w:after="120"/>
      <w:ind w:left="851" w:hanging="851"/>
    </w:pPr>
    <w:rPr>
      <w:rFonts w:ascii="Arial Black" w:eastAsia="Arial Unicode MS" w:hAnsi="Arial Black" w:cs="Arial"/>
      <w:sz w:val="24"/>
    </w:rPr>
  </w:style>
  <w:style w:type="numbering" w:customStyle="1" w:styleId="ListeTitel">
    <w:name w:val="ListeTitel"/>
    <w:basedOn w:val="KeineListe"/>
    <w:semiHidden/>
    <w:rsid w:val="00111247"/>
    <w:pPr>
      <w:numPr>
        <w:numId w:val="44"/>
      </w:numPr>
    </w:pPr>
  </w:style>
  <w:style w:type="paragraph" w:customStyle="1" w:styleId="37Titel4">
    <w:name w:val="37 Titel 4"/>
    <w:basedOn w:val="Standard"/>
    <w:next w:val="00Vorgabetext"/>
    <w:qFormat/>
    <w:rsid w:val="00DA6321"/>
    <w:pPr>
      <w:numPr>
        <w:ilvl w:val="3"/>
        <w:numId w:val="43"/>
      </w:numPr>
      <w:tabs>
        <w:tab w:val="clear" w:pos="397"/>
        <w:tab w:val="clear" w:pos="794"/>
        <w:tab w:val="clear" w:pos="7938"/>
        <w:tab w:val="decimal" w:pos="7937"/>
      </w:tabs>
      <w:kinsoku w:val="0"/>
      <w:overflowPunct w:val="0"/>
      <w:autoSpaceDE w:val="0"/>
      <w:autoSpaceDN w:val="0"/>
    </w:pPr>
    <w:rPr>
      <w:rFonts w:eastAsia="Arial Unicode MS" w:cs="Arial"/>
      <w:b/>
      <w:sz w:val="24"/>
    </w:rPr>
  </w:style>
  <w:style w:type="paragraph" w:customStyle="1" w:styleId="38Titel5">
    <w:name w:val="38 Titel 5"/>
    <w:basedOn w:val="Standard"/>
    <w:next w:val="00Vorgabetext"/>
    <w:autoRedefine/>
    <w:qFormat/>
    <w:rsid w:val="00D133AF"/>
    <w:pPr>
      <w:numPr>
        <w:ilvl w:val="4"/>
        <w:numId w:val="43"/>
      </w:numPr>
      <w:tabs>
        <w:tab w:val="clear" w:pos="397"/>
        <w:tab w:val="clear" w:pos="794"/>
        <w:tab w:val="clear" w:pos="1021"/>
        <w:tab w:val="clear" w:pos="1191"/>
        <w:tab w:val="clear" w:pos="4479"/>
        <w:tab w:val="clear" w:pos="4876"/>
        <w:tab w:val="clear" w:pos="5273"/>
        <w:tab w:val="clear" w:pos="5670"/>
        <w:tab w:val="clear" w:pos="6067"/>
        <w:tab w:val="clear" w:pos="7938"/>
        <w:tab w:val="left" w:pos="851"/>
      </w:tabs>
      <w:kinsoku w:val="0"/>
      <w:overflowPunct w:val="0"/>
      <w:autoSpaceDE w:val="0"/>
      <w:autoSpaceDN w:val="0"/>
    </w:pPr>
    <w:rPr>
      <w:rFonts w:eastAsia="Arial Unicode MS" w:cs="Arial"/>
    </w:rPr>
  </w:style>
  <w:style w:type="table" w:customStyle="1" w:styleId="Tabellenraster1">
    <w:name w:val="Tabellenraster1"/>
    <w:basedOn w:val="NormaleTabelle"/>
    <w:next w:val="Tabellenraster"/>
    <w:rsid w:val="00CD5F7F"/>
    <w:pPr>
      <w:spacing w:before="120" w:after="0" w:line="240" w:lineRule="auto"/>
    </w:pPr>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55101F"/>
    <w:pPr>
      <w:spacing w:before="120" w:after="0" w:line="240" w:lineRule="auto"/>
    </w:pPr>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15Zeilenabstand">
    <w:name w:val="70 1.5 Zeilenabstand"/>
    <w:basedOn w:val="00Vorgabetext"/>
    <w:rsid w:val="005432B0"/>
    <w:pPr>
      <w:spacing w:line="360" w:lineRule="auto"/>
    </w:pPr>
  </w:style>
  <w:style w:type="table" w:customStyle="1" w:styleId="Tabellenraster21">
    <w:name w:val="Tabellenraster21"/>
    <w:basedOn w:val="NormaleTabelle"/>
    <w:next w:val="Tabellenraster"/>
    <w:rsid w:val="005432B0"/>
    <w:pPr>
      <w:spacing w:before="120" w:after="0" w:line="240" w:lineRule="auto"/>
    </w:pPr>
    <w:rPr>
      <w:rFonts w:ascii="Arial" w:eastAsia="Times New Roman" w:hAnsi="Arial" w:cs="Times New Roman"/>
      <w:sz w:val="24"/>
      <w:szCs w:val="24"/>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10000005.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7BCD-52BE-45CD-BF57-7551868E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10000005.dotx</Template>
  <TotalTime>0</TotalTime>
  <Pages>19</Pages>
  <Words>6228</Words>
  <Characters>39239</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Bericht JI</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JI</dc:title>
  <dc:creator>Gianini Nadia</dc:creator>
  <cp:lastModifiedBy>Wetli, Roland</cp:lastModifiedBy>
  <cp:revision>5</cp:revision>
  <cp:lastPrinted>2019-04-16T10:59:00Z</cp:lastPrinted>
  <dcterms:created xsi:type="dcterms:W3CDTF">2019-04-16T07:30:00Z</dcterms:created>
  <dcterms:modified xsi:type="dcterms:W3CDTF">2019-04-17T13:02:00Z</dcterms:modified>
  <cp:version>2016</cp:version>
</cp:coreProperties>
</file>