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D2" w:rsidRDefault="00675CD2" w:rsidP="00675CD2">
      <w:pPr>
        <w:pStyle w:val="31Formulartitel"/>
        <w:spacing w:before="0" w:after="0"/>
        <w:ind w:right="-595"/>
      </w:pPr>
      <w:bookmarkStart w:id="0" w:name="start"/>
      <w:bookmarkEnd w:id="0"/>
      <w:r w:rsidRPr="009109FF">
        <w:t>Mo</w:t>
      </w:r>
      <w:r>
        <w:t>tion KR-Nr. 251 / 2014; Ein Betreibungsregister für den Kanton Zürich</w:t>
      </w:r>
    </w:p>
    <w:p w:rsidR="00675CD2" w:rsidRDefault="00675CD2" w:rsidP="00675CD2">
      <w:pPr>
        <w:pStyle w:val="00Vorgabetext"/>
        <w:tabs>
          <w:tab w:val="clear" w:pos="397"/>
          <w:tab w:val="clear" w:pos="794"/>
          <w:tab w:val="left" w:pos="426"/>
          <w:tab w:val="left" w:pos="851"/>
        </w:tabs>
      </w:pPr>
    </w:p>
    <w:p w:rsidR="00675CD2" w:rsidRPr="00742D8C" w:rsidRDefault="00675CD2" w:rsidP="00675CD2">
      <w:pPr>
        <w:pStyle w:val="00Vorgabetext"/>
        <w:tabs>
          <w:tab w:val="clear" w:pos="397"/>
          <w:tab w:val="clear" w:pos="794"/>
          <w:tab w:val="left" w:pos="426"/>
          <w:tab w:val="left" w:pos="851"/>
        </w:tabs>
        <w:rPr>
          <w:rFonts w:ascii="Arial Black" w:hAnsi="Arial Black"/>
          <w:sz w:val="24"/>
          <w:szCs w:val="24"/>
        </w:rPr>
      </w:pPr>
      <w:r w:rsidRPr="00742D8C">
        <w:rPr>
          <w:rFonts w:ascii="Arial Black" w:hAnsi="Arial Black"/>
          <w:sz w:val="24"/>
          <w:szCs w:val="24"/>
        </w:rPr>
        <w:t>Allgemeine Erläuterungen</w:t>
      </w:r>
    </w:p>
    <w:p w:rsidR="00675CD2" w:rsidRDefault="00675CD2" w:rsidP="00675CD2">
      <w:pPr>
        <w:pStyle w:val="00Vorgabetext"/>
        <w:tabs>
          <w:tab w:val="clear" w:pos="397"/>
          <w:tab w:val="clear" w:pos="794"/>
          <w:tab w:val="left" w:pos="426"/>
          <w:tab w:val="left" w:pos="851"/>
        </w:tabs>
      </w:pPr>
      <w:r>
        <w:t>Der Kantonsrat hat dem Regierungsrat am 9. März 2015 folgende, von den Kantonsr</w:t>
      </w:r>
      <w:r>
        <w:t>ä</w:t>
      </w:r>
      <w:r>
        <w:t xml:space="preserve">ten </w:t>
      </w:r>
      <w:r w:rsidRPr="004912D9">
        <w:rPr>
          <w:rFonts w:cs="Arial"/>
          <w:color w:val="000000"/>
        </w:rPr>
        <w:t>Michael Zeugin</w:t>
      </w:r>
      <w:r>
        <w:rPr>
          <w:rFonts w:cs="Arial"/>
          <w:color w:val="000000"/>
        </w:rPr>
        <w:t xml:space="preserve">, </w:t>
      </w:r>
      <w:r w:rsidRPr="004912D9">
        <w:rPr>
          <w:rFonts w:cs="Arial"/>
          <w:color w:val="000000"/>
        </w:rPr>
        <w:t>Winterthur, Martin Arnold,</w:t>
      </w:r>
      <w:r>
        <w:rPr>
          <w:rFonts w:cs="Arial"/>
          <w:color w:val="000000"/>
        </w:rPr>
        <w:t xml:space="preserve"> </w:t>
      </w:r>
      <w:r w:rsidRPr="004912D9">
        <w:rPr>
          <w:rFonts w:cs="Arial"/>
          <w:color w:val="000000"/>
        </w:rPr>
        <w:t>Oberrieden</w:t>
      </w:r>
      <w:r>
        <w:rPr>
          <w:rFonts w:cs="Arial"/>
          <w:color w:val="000000"/>
        </w:rPr>
        <w:t>,</w:t>
      </w:r>
      <w:r w:rsidRPr="004912D9">
        <w:rPr>
          <w:rFonts w:cs="Arial"/>
          <w:color w:val="000000"/>
        </w:rPr>
        <w:t xml:space="preserve"> und Markus Schaaf</w:t>
      </w:r>
      <w:r>
        <w:rPr>
          <w:rFonts w:cs="Arial"/>
          <w:color w:val="000000"/>
        </w:rPr>
        <w:t xml:space="preserve">, </w:t>
      </w:r>
      <w:r w:rsidRPr="004912D9">
        <w:rPr>
          <w:rFonts w:cs="Arial"/>
          <w:color w:val="000000"/>
        </w:rPr>
        <w:t>Zell</w:t>
      </w:r>
      <w:r>
        <w:rPr>
          <w:rFonts w:cs="Arial"/>
          <w:color w:val="000000"/>
        </w:rPr>
        <w:t>, am 29. September 2014 eingereichte Motion</w:t>
      </w:r>
      <w:r>
        <w:t xml:space="preserve"> zur Berichterstattung und Antragstellung überwiesen:</w:t>
      </w:r>
    </w:p>
    <w:p w:rsidR="00675CD2" w:rsidRPr="00D81E42" w:rsidRDefault="00675CD2" w:rsidP="00675CD2">
      <w:pPr>
        <w:pStyle w:val="00Vorgabetext"/>
        <w:tabs>
          <w:tab w:val="clear" w:pos="397"/>
          <w:tab w:val="clear" w:pos="794"/>
          <w:tab w:val="left" w:pos="426"/>
          <w:tab w:val="left" w:pos="851"/>
        </w:tabs>
        <w:rPr>
          <w:i/>
        </w:rPr>
      </w:pPr>
      <w:r w:rsidRPr="00D81E42">
        <w:rPr>
          <w:i/>
        </w:rPr>
        <w:t>„Ein zentral geführtes Betreibungsregister im Kanton Zürich kann den bürokratischen Aufwand minimieren und die Administration der Betreibungsämter reduzieren. Der Kantonsrat hat sich bei der Beratung des Postulats KR-Nr. 347/2012 mit einer sehr deutlichen Mehrheit für eine zügige Umsetzung für ein Betreibungsregister im Kanton Zürich ausgesprochen. Der Nutzen für den Kanton rechtfertigt, dass die Harmonisi</w:t>
      </w:r>
      <w:r w:rsidRPr="00D81E42">
        <w:rPr>
          <w:i/>
        </w:rPr>
        <w:t>e</w:t>
      </w:r>
      <w:r w:rsidRPr="00D81E42">
        <w:rPr>
          <w:i/>
        </w:rPr>
        <w:t>rung des Betreibungsregisters rasch umgesetzt wird.“</w:t>
      </w:r>
    </w:p>
    <w:p w:rsidR="00675CD2" w:rsidRPr="002A2EE0" w:rsidRDefault="00675CD2" w:rsidP="00675CD2">
      <w:pPr>
        <w:pStyle w:val="00Vorgabetext"/>
        <w:spacing w:before="240"/>
      </w:pPr>
      <w:r w:rsidRPr="002A2EE0">
        <w:t xml:space="preserve">1. Zur </w:t>
      </w:r>
      <w:r>
        <w:t>Vernehmlassungs</w:t>
      </w:r>
      <w:r w:rsidRPr="002A2EE0">
        <w:t xml:space="preserve">vorlage </w:t>
      </w:r>
    </w:p>
    <w:p w:rsidR="00675CD2" w:rsidRPr="00A17A68" w:rsidRDefault="00675CD2" w:rsidP="00675CD2">
      <w:pPr>
        <w:pStyle w:val="00Vorgabetext"/>
        <w:spacing w:before="240"/>
      </w:pPr>
      <w:r w:rsidRPr="00A17A68">
        <w:t>1.1. Zulässigkeit der Führung eines gemeinsamen Systems durch die Betreibungsä</w:t>
      </w:r>
      <w:r w:rsidRPr="00A17A68">
        <w:t>m</w:t>
      </w:r>
      <w:r w:rsidRPr="00A17A68">
        <w:t xml:space="preserve">ter </w:t>
      </w:r>
      <w:r>
        <w:t xml:space="preserve">und gegenseitiger Datenzugriff </w:t>
      </w:r>
    </w:p>
    <w:p w:rsidR="00675CD2" w:rsidRPr="00196242" w:rsidRDefault="0069771C" w:rsidP="00675CD2">
      <w:pPr>
        <w:pStyle w:val="00Vorgabetext"/>
      </w:pPr>
      <w:r>
        <w:rPr>
          <w:noProof/>
        </w:rPr>
        <w:pict>
          <v:shapetype id="_x0000_t202" coordsize="21600,21600" o:spt="202" path="m,l,21600r21600,l21600,xe">
            <v:stroke joinstyle="miter"/>
            <v:path gradientshapeok="t" o:connecttype="rect"/>
          </v:shapetype>
          <v:shape id="_x0000_s1027" type="#_x0000_t202" style="position:absolute;margin-left:99.25pt;margin-top:785.15pt;width:425.15pt;height:28.35pt;z-index:251661312;mso-wrap-style:tight;mso-position-horizontal-relative:page;mso-position-vertical-relative:page" filled="f" stroked="f">
            <v:textbox>
              <w:txbxContent>
                <w:p w:rsidR="00675CD2" w:rsidRPr="00652960" w:rsidRDefault="0069771C" w:rsidP="00675CD2">
                  <w:pPr>
                    <w:pStyle w:val="01Kleinschrift"/>
                    <w:jc w:val="right"/>
                  </w:pPr>
                  <w:fldSimple w:instr=" FILENAME  \p  \* MERGEFORMAT ">
                    <w:r w:rsidR="00675CD2">
                      <w:rPr>
                        <w:noProof/>
                      </w:rPr>
                      <w:t>L:\SFR\02. MA\EV\G_Betreibungsregister\Allgemeine Erläuterungen.docx</w:t>
                    </w:r>
                  </w:fldSimple>
                </w:p>
              </w:txbxContent>
            </v:textbox>
            <w10:wrap anchorx="page" anchory="page"/>
          </v:shape>
        </w:pict>
      </w:r>
      <w:r w:rsidR="00675CD2">
        <w:t>Das Gebiet jeden Kantons bildet für die Durchführung der Schuldbetreibungen und der Konkurse einen oder mehrere Kreise (Art. 1 Abs. 1 SchKG), wobei jedes Betreibung</w:t>
      </w:r>
      <w:r w:rsidR="00675CD2">
        <w:t>s</w:t>
      </w:r>
      <w:r w:rsidR="00675CD2">
        <w:t xml:space="preserve">amt von einem Betreibungsbeamten geleitet wird (Art. 2 Abs. 1 SchKG). </w:t>
      </w:r>
      <w:r w:rsidR="00675CD2" w:rsidRPr="000F0660">
        <w:t>Die Organis</w:t>
      </w:r>
      <w:r w:rsidR="00675CD2" w:rsidRPr="000F0660">
        <w:t>a</w:t>
      </w:r>
      <w:r w:rsidR="00675CD2" w:rsidRPr="000F0660">
        <w:t>tion der Betreibungs-</w:t>
      </w:r>
      <w:r w:rsidR="00675CD2">
        <w:t xml:space="preserve"> </w:t>
      </w:r>
      <w:r w:rsidR="00675CD2" w:rsidRPr="000F0660">
        <w:t>und Konkursämter bestimmen im Übrigen</w:t>
      </w:r>
      <w:r w:rsidR="00675CD2">
        <w:t xml:space="preserve"> die</w:t>
      </w:r>
      <w:r w:rsidR="00675CD2" w:rsidRPr="000F0660">
        <w:t xml:space="preserve"> Kantone</w:t>
      </w:r>
      <w:r w:rsidR="00675CD2">
        <w:t xml:space="preserve"> (Art. 122 Abs. 2 BV,</w:t>
      </w:r>
      <w:r w:rsidR="00675CD2" w:rsidRPr="00B443AC">
        <w:t xml:space="preserve"> </w:t>
      </w:r>
      <w:r w:rsidR="00675CD2">
        <w:t>Art. 2 Abs. 5 SchKG). Gestützt auf Art. 8 SchKG führen die Ämter über die bei ihnen eingehenden Begehren und Erklärungen Protokoll und die Register (vgl. d</w:t>
      </w:r>
      <w:r w:rsidR="00675CD2">
        <w:t>a</w:t>
      </w:r>
      <w:r w:rsidR="00675CD2">
        <w:t>zu insbesondere Art. 8 der Verordnung vom 5. Juni 1996 über die im Betreibungs- und Konkursverfahren zu verwendenden Formulare und Register sowie die Rechnungsfü</w:t>
      </w:r>
      <w:r w:rsidR="00675CD2">
        <w:t>h</w:t>
      </w:r>
      <w:r w:rsidR="00675CD2">
        <w:t>rung [VFRR]). Aus den Bestimmungen geht nicht wörtlich hervor, dass jedes Amt ein eigenes Register führen muss. Eine entsprechende Deutung entspricht sicher einer historischen Auslegung. Allerdings ist für die Auslegung in Betracht zu ziehen, dass allein schon aufgrund der fehlenden technischen Möglichkeiten beim Erlass des SchKG etwas anderes gar nicht denkbar gewesen wäre. In Betracht zu ziehen ist s</w:t>
      </w:r>
      <w:r w:rsidR="00675CD2">
        <w:t>o</w:t>
      </w:r>
      <w:r w:rsidR="00675CD2">
        <w:t>dann, dass die Organisation im Übrigen Sache der Kantone ist. Gestützt auf eine zei</w:t>
      </w:r>
      <w:r w:rsidR="00675CD2">
        <w:t>t</w:t>
      </w:r>
      <w:r w:rsidR="00675CD2">
        <w:t>gemässe und wohl auch eine teleologische Auslegung ist deshalb darauf zu schlie</w:t>
      </w:r>
      <w:r w:rsidR="00675CD2">
        <w:t>s</w:t>
      </w:r>
      <w:r w:rsidR="00675CD2">
        <w:t>sen, dass die Registerführung in einem zentralen Datenstamm zulässig ist. Die einze</w:t>
      </w:r>
      <w:r w:rsidR="00675CD2">
        <w:t>l</w:t>
      </w:r>
      <w:r w:rsidR="00675CD2">
        <w:t>nen Daten sollen jedoch dem jeweils zuständigen Amt (i.e. dasjenige, das den Eintrag ins Register vorgenommen hat) zugeordnet werden können. Die Führung der Daten sämtlicher Betreibungsämter in einem zentralen Register erscheint damit zulässig. Diese Antwort wird offenbar auch vom Bundesamt für Justiz vertreten (vgl. Stellun</w:t>
      </w:r>
      <w:r w:rsidR="00675CD2">
        <w:t>g</w:t>
      </w:r>
      <w:r w:rsidR="00675CD2">
        <w:t>nahme des Bundesrates vom 18. Mai 2016 zur Interpellation 16.3199 von Jürg Gro</w:t>
      </w:r>
      <w:r w:rsidR="00675CD2">
        <w:t>s</w:t>
      </w:r>
      <w:r w:rsidR="00675CD2">
        <w:t>sen betr. Harmonisierung der Betreibungsregister). Als zulässig zu erachten wäre d</w:t>
      </w:r>
      <w:r w:rsidR="00675CD2">
        <w:t>a</w:t>
      </w:r>
      <w:r w:rsidR="00675CD2">
        <w:t xml:space="preserve">mit auch die Führung eines eigenen Registers durch die einzelnen Betreibungsämter </w:t>
      </w:r>
      <w:r w:rsidR="00675CD2">
        <w:lastRenderedPageBreak/>
        <w:t>und die zentrale Speicherung der für die Erteilung von Betreibungsauskünften notwe</w:t>
      </w:r>
      <w:r w:rsidR="00675CD2">
        <w:t>n</w:t>
      </w:r>
      <w:r w:rsidR="00675CD2">
        <w:t xml:space="preserve">digen Daten. </w:t>
      </w:r>
    </w:p>
    <w:p w:rsidR="00675CD2" w:rsidRDefault="00675CD2" w:rsidP="00675CD2">
      <w:pPr>
        <w:pStyle w:val="00Vorgabetext"/>
      </w:pPr>
      <w:r>
        <w:t>Der Kanton könnte zwar lediglich ein Betreibungsamt führen, womit bei der Erteilung einer Betreibungsauskunft ohne weiteres Zugriff auf sämtliche im Kanton erfasste D</w:t>
      </w:r>
      <w:r>
        <w:t>a</w:t>
      </w:r>
      <w:r>
        <w:t>ten bestünde. Dies entspricht jedoch nicht dem Ansatz des Einführungsgesetzes zum Bundesgesetz über Schuldbetreibung und Konkurs vom 26. November 2007 (EG SchKG). Gemäss EG SchKG erfolgt die Aufgabenerfüllung im Betreibungswesen in organisatorischer und personeller Hinsicht durch die Gemeinden. Diese führen die B</w:t>
      </w:r>
      <w:r>
        <w:t>e</w:t>
      </w:r>
      <w:r>
        <w:t xml:space="preserve">treibungsämter, die unabhängig voneinander funktionieren. </w:t>
      </w:r>
      <w:r w:rsidRPr="00AC710C">
        <w:t>§ 17 Abs. 1 lit. a IDG ve</w:t>
      </w:r>
      <w:r w:rsidRPr="00AC710C">
        <w:t>r</w:t>
      </w:r>
      <w:r w:rsidRPr="00AC710C">
        <w:t xml:space="preserve">langt für die Bekanntgabe besonderer Personendaten </w:t>
      </w:r>
      <w:r>
        <w:t>an</w:t>
      </w:r>
      <w:r w:rsidRPr="00AC710C">
        <w:t xml:space="preserve"> öffentliche Organe eine hi</w:t>
      </w:r>
      <w:r w:rsidRPr="00AC710C">
        <w:t>n</w:t>
      </w:r>
      <w:r w:rsidRPr="00AC710C">
        <w:t>reichend bestimmte</w:t>
      </w:r>
      <w:r>
        <w:t xml:space="preserve"> </w:t>
      </w:r>
      <w:r w:rsidRPr="00AC710C">
        <w:t xml:space="preserve">Regelung in einem formellen Gesetz. </w:t>
      </w:r>
      <w:r>
        <w:t>Demnach ist für den Date</w:t>
      </w:r>
      <w:r>
        <w:t>n</w:t>
      </w:r>
      <w:r>
        <w:t>austausch zwischen öffentlichen Organen immer dann eine formell-gesetzliche Grun</w:t>
      </w:r>
      <w:r>
        <w:t>d</w:t>
      </w:r>
      <w:r>
        <w:t>lage notwendig, wenn</w:t>
      </w:r>
    </w:p>
    <w:p w:rsidR="00675CD2" w:rsidRDefault="00675CD2" w:rsidP="00675CD2">
      <w:pPr>
        <w:pStyle w:val="00Vorgabetext"/>
        <w:tabs>
          <w:tab w:val="clear" w:pos="397"/>
          <w:tab w:val="left" w:pos="284"/>
        </w:tabs>
        <w:spacing w:before="60"/>
        <w:ind w:left="284" w:hanging="284"/>
      </w:pPr>
      <w:r>
        <w:t xml:space="preserve">– </w:t>
      </w:r>
      <w:r>
        <w:tab/>
        <w:t>das andere Organ direkt auf besondere Personendaten anderer Amtsstellen zugre</w:t>
      </w:r>
      <w:r>
        <w:t>i</w:t>
      </w:r>
      <w:r>
        <w:t xml:space="preserve">fen kann oder </w:t>
      </w:r>
    </w:p>
    <w:p w:rsidR="00675CD2" w:rsidRDefault="00675CD2" w:rsidP="00675CD2">
      <w:pPr>
        <w:pStyle w:val="00Vorgabetext"/>
        <w:tabs>
          <w:tab w:val="clear" w:pos="397"/>
          <w:tab w:val="left" w:pos="284"/>
        </w:tabs>
        <w:spacing w:before="60"/>
        <w:ind w:left="284" w:hanging="284"/>
      </w:pPr>
      <w:r>
        <w:t xml:space="preserve">– </w:t>
      </w:r>
      <w:r>
        <w:tab/>
        <w:t>die Bekanntgabe nicht auf bestimmte Einzelfälle beschränkt ist.</w:t>
      </w:r>
    </w:p>
    <w:p w:rsidR="00675CD2" w:rsidRDefault="00675CD2" w:rsidP="00675CD2">
      <w:pPr>
        <w:pStyle w:val="00Vorgabetext"/>
        <w:tabs>
          <w:tab w:val="clear" w:pos="397"/>
        </w:tabs>
      </w:pPr>
      <w:r>
        <w:t>Diese Voraussetzungen sind vorliegend erfüllt, weshalb die Schaffung einer Grundlage für den Datenzugriff im EG SchKG als notwendig erscheint.</w:t>
      </w:r>
    </w:p>
    <w:p w:rsidR="00675CD2" w:rsidRPr="00631043" w:rsidRDefault="00675CD2" w:rsidP="00675CD2">
      <w:pPr>
        <w:pStyle w:val="00Vorgabetext"/>
        <w:spacing w:before="240"/>
      </w:pPr>
      <w:r w:rsidRPr="00631043">
        <w:t xml:space="preserve">1.2. Handlungsspielraum </w:t>
      </w:r>
      <w:r>
        <w:t>bei</w:t>
      </w:r>
      <w:r w:rsidRPr="00631043">
        <w:t xml:space="preserve"> der Erfassung von (zusätzlichen) Identifikatoren des Schuldners (Art. 2 Abs. 5 i.V.m. Art. 8 Abs. 1 SchKG)</w:t>
      </w:r>
    </w:p>
    <w:p w:rsidR="00675CD2" w:rsidRDefault="00675CD2" w:rsidP="00675CD2">
      <w:pPr>
        <w:pStyle w:val="00Vorgabetext"/>
      </w:pPr>
      <w:r w:rsidRPr="001F0C5E">
        <w:t xml:space="preserve">Art. </w:t>
      </w:r>
      <w:r>
        <w:t xml:space="preserve">67 Abs. 1 Ziff. 2 SchKG </w:t>
      </w:r>
      <w:proofErr w:type="gramStart"/>
      <w:r>
        <w:t>regelt</w:t>
      </w:r>
      <w:proofErr w:type="gramEnd"/>
      <w:r>
        <w:t xml:space="preserve"> die Anforderungen an das Betreibungsbegehren. Anzugeben sind bezüglich des Schuldners:</w:t>
      </w:r>
      <w:r w:rsidRPr="00E62A00">
        <w:t xml:space="preserve"> </w:t>
      </w:r>
      <w:r>
        <w:t xml:space="preserve">dessen </w:t>
      </w:r>
      <w:r w:rsidRPr="00781751">
        <w:t>Name und Wohnort</w:t>
      </w:r>
      <w:r>
        <w:t xml:space="preserve"> und gegeb</w:t>
      </w:r>
      <w:r>
        <w:t>e</w:t>
      </w:r>
      <w:r>
        <w:t>nenfalls diejenigen eines gesetzlichen Vertreters. Der Schuldner muss klar und u</w:t>
      </w:r>
      <w:r>
        <w:t>n</w:t>
      </w:r>
      <w:r>
        <w:t>zweideutig genannt werden, andernfalls ist die Betreibungsurkunde nichtig (BGE 102 III 63). Zielrichtung dieser Bestimmung ist jedoch lediglich die Einleitung einer Betre</w:t>
      </w:r>
      <w:r>
        <w:t>i</w:t>
      </w:r>
      <w:r>
        <w:t>bung und nicht, dass der Schuldner für die allfällige spätere Erstellung einer Betre</w:t>
      </w:r>
      <w:r>
        <w:t>i</w:t>
      </w:r>
      <w:r>
        <w:t>bungsauskunft eindeutig identifiziert werden kann. Damit kann lediglich verlangt we</w:t>
      </w:r>
      <w:r>
        <w:t>r</w:t>
      </w:r>
      <w:r>
        <w:t xml:space="preserve">den, dass der Schuldner z.Zt. </w:t>
      </w:r>
      <w:proofErr w:type="gramStart"/>
      <w:r>
        <w:t>der</w:t>
      </w:r>
      <w:proofErr w:type="gramEnd"/>
      <w:r>
        <w:t xml:space="preserve"> Einreichung des Betreibungsbegehrens identifizie</w:t>
      </w:r>
      <w:r>
        <w:t>r</w:t>
      </w:r>
      <w:r>
        <w:t>bar ist. Damit genügt es, dass die Gläubigerin oder der Gläubiger Name und der Wohnort einer Schuldnerin oder eines Schuldners angibt und die Angabe weiterer Identifikatoren kann nicht verlangt werden. Allerdings könnten zusätzliche Identifikat</w:t>
      </w:r>
      <w:r>
        <w:t>o</w:t>
      </w:r>
      <w:r>
        <w:t xml:space="preserve">ren mittels Zugriffs auf die </w:t>
      </w:r>
      <w:r w:rsidR="0018490D" w:rsidRPr="00781751">
        <w:t>kantona</w:t>
      </w:r>
      <w:r w:rsidR="0018490D">
        <w:t>le</w:t>
      </w:r>
      <w:r w:rsidR="0018490D" w:rsidRPr="00781751">
        <w:t xml:space="preserve"> Einwohnerdatenplattform (</w:t>
      </w:r>
      <w:r>
        <w:t>KEP</w:t>
      </w:r>
      <w:r w:rsidR="0018490D">
        <w:t>)</w:t>
      </w:r>
      <w:r>
        <w:t xml:space="preserve"> abgerufen we</w:t>
      </w:r>
      <w:r>
        <w:t>r</w:t>
      </w:r>
      <w:r>
        <w:t>den</w:t>
      </w:r>
      <w:r w:rsidR="0018490D">
        <w:t>, wobei dies für die Betreibungsämter mit einem Mehraufwand verbunden ist</w:t>
      </w:r>
      <w:r>
        <w:t xml:space="preserve">. Eine Berechtigung dazu besteht bereits gemäss § 23 Abs. 1 lit. c des Gesetzes über das Meldewesen und die Einwohnerregister vom 11. Mai 2015 </w:t>
      </w:r>
      <w:r>
        <w:rPr>
          <w:sz w:val="20"/>
        </w:rPr>
        <w:t>(</w:t>
      </w:r>
      <w:r>
        <w:t>MERG), wenn die Führung eines kantonalen Betreibungsregisters als öffentliche Aufgabe definiert wird. Die en</w:t>
      </w:r>
      <w:r>
        <w:t>t</w:t>
      </w:r>
      <w:r>
        <w:t xml:space="preserve">sprechenden Daten für Einwohnerinnen und Einwohner des Kantons Zürich könnten damit abgerufen werden. Voraussetzung dafür ist jedoch, dass die </w:t>
      </w:r>
      <w:r w:rsidRPr="00781751">
        <w:t>Betreibung am o</w:t>
      </w:r>
      <w:r w:rsidRPr="00781751">
        <w:t>r</w:t>
      </w:r>
      <w:r w:rsidRPr="00781751">
        <w:t>dentlichen Betreibungsort ein</w:t>
      </w:r>
      <w:r>
        <w:t>ge</w:t>
      </w:r>
      <w:r w:rsidRPr="00781751">
        <w:t>reicht</w:t>
      </w:r>
      <w:r>
        <w:t xml:space="preserve"> wird</w:t>
      </w:r>
      <w:r w:rsidRPr="00781751">
        <w:t>, d.h. am Ort, an dem die Schuldnerin oder der Schuldner niedergelassen und auch tatsächlich angemeldet ist (vgl. § 1 des Gese</w:t>
      </w:r>
      <w:r w:rsidRPr="00781751">
        <w:t>t</w:t>
      </w:r>
      <w:r w:rsidRPr="00781751">
        <w:t>zes über das Meldewesen und die Einwohnerregister</w:t>
      </w:r>
      <w:r>
        <w:t xml:space="preserve"> (MERG) vom 11. Mai 2015). Nur dann</w:t>
      </w:r>
      <w:r w:rsidRPr="00781751">
        <w:t xml:space="preserve"> ist eine Identifikation möglich. Ist eine Schuldnerin oder ein Schuldner nicht a</w:t>
      </w:r>
      <w:r w:rsidRPr="00781751">
        <w:t>n</w:t>
      </w:r>
      <w:r w:rsidRPr="00781751">
        <w:t>gemeldet, hat sie oder er gleichwohl einen betreibungsrechtlichen Wohnsitz in der fra</w:t>
      </w:r>
      <w:r w:rsidRPr="00781751">
        <w:t>g</w:t>
      </w:r>
      <w:r w:rsidRPr="00781751">
        <w:t xml:space="preserve">lichen Gemeinde und ein eingeleitetes Betreibungsverfahren muss vom zuständigen </w:t>
      </w:r>
      <w:r w:rsidRPr="00781751">
        <w:lastRenderedPageBreak/>
        <w:t>Betreibungsamt durchgeführt werden</w:t>
      </w:r>
      <w:r w:rsidR="0018490D">
        <w:t xml:space="preserve"> </w:t>
      </w:r>
      <w:r w:rsidR="0018490D" w:rsidRPr="0018490D">
        <w:t>(Art. 46 SchKG i.V.m. Art. 23 ZGB)</w:t>
      </w:r>
      <w:r w:rsidRPr="00781751">
        <w:t xml:space="preserve">. Die Abfrage der AHV-Nummer auf </w:t>
      </w:r>
      <w:r w:rsidR="0018490D">
        <w:t>KEP</w:t>
      </w:r>
      <w:r w:rsidRPr="00781751">
        <w:t xml:space="preserve"> gemäss § 22 MERG wird aber nicht zu einem Ergebnis führen. </w:t>
      </w:r>
      <w:r w:rsidR="0018490D" w:rsidRPr="0018490D">
        <w:t>Es gibt überdies eine Anzahl spezieller Betreibungsverfahren (</w:t>
      </w:r>
      <w:r w:rsidR="00E8298A">
        <w:t>z.B</w:t>
      </w:r>
      <w:r w:rsidR="0018490D" w:rsidRPr="0018490D">
        <w:t>. die Arres</w:t>
      </w:r>
      <w:r w:rsidR="0018490D" w:rsidRPr="0018490D">
        <w:t>t</w:t>
      </w:r>
      <w:r w:rsidR="0018490D" w:rsidRPr="0018490D">
        <w:t>betreibung oder die Betreibung auf Pfandverwertung), welche nicht zwingend am Wohnsitz (und damit am ordentlichen Betreibungsort) eingeleitet werden müssen (vgl. Art. 51</w:t>
      </w:r>
      <w:r w:rsidR="00E8298A">
        <w:t xml:space="preserve"> und</w:t>
      </w:r>
      <w:r w:rsidR="0018490D" w:rsidRPr="0018490D">
        <w:t xml:space="preserve"> 52 SchKG).</w:t>
      </w:r>
      <w:r w:rsidR="0018490D">
        <w:t xml:space="preserve"> </w:t>
      </w:r>
      <w:r>
        <w:t>Für die Verwendung der AHV-Versichertennummer gemäss dem Bundesgesetz vom 20. Dezember 1946 über die Alters- und Hinterlassenenvers</w:t>
      </w:r>
      <w:r>
        <w:t>i</w:t>
      </w:r>
      <w:r>
        <w:t>ch</w:t>
      </w:r>
      <w:r>
        <w:t>e</w:t>
      </w:r>
      <w:r>
        <w:t>rung (AHVG) als Identifikator ist sodann eine ausdrückliche gesetzliche Grundlage zu schaffen (Art.</w:t>
      </w:r>
      <w:r w:rsidRPr="00750AE0">
        <w:t xml:space="preserve"> 50</w:t>
      </w:r>
      <w:r>
        <w:t>e Abs. 3</w:t>
      </w:r>
      <w:r w:rsidRPr="00750AE0">
        <w:t xml:space="preserve"> AHVG</w:t>
      </w:r>
      <w:r>
        <w:t xml:space="preserve">). Diese Meinung vertritt auch der Bundesrat (vgl. Stellungnahme des Bundesrates vom 13. Mai 2016 zur Interpellation 15.3267 betr. </w:t>
      </w:r>
      <w:proofErr w:type="gramStart"/>
      <w:r>
        <w:t>Bür</w:t>
      </w:r>
      <w:r>
        <w:t>o</w:t>
      </w:r>
      <w:r>
        <w:t>kratieabbau</w:t>
      </w:r>
      <w:proofErr w:type="gramEnd"/>
      <w:r>
        <w:t xml:space="preserve"> durch Harmonisierung der Betreibungsregister).</w:t>
      </w:r>
    </w:p>
    <w:p w:rsidR="00675CD2" w:rsidRDefault="00675CD2" w:rsidP="00675CD2">
      <w:pPr>
        <w:pStyle w:val="00Vorgabetext"/>
      </w:pPr>
      <w:r>
        <w:t>Für juristische Personen werden in der KEP keine Daten erfasst. Allerdings können entsprechende Daten aus dem Handelsregister abgerufen werden (Bundesgesetz vom 18. Juni 2010 über die Unternehmens-Identifikationsnummer [UIDG]). Die Verwendung der UID wäre wohl zulässig, da die Betreibungsämter als „UID-Stellen“ gemäss Art. 3 UIDG zu werten sind.</w:t>
      </w:r>
    </w:p>
    <w:p w:rsidR="00675CD2" w:rsidRDefault="00675CD2" w:rsidP="00675CD2">
      <w:pPr>
        <w:pStyle w:val="00Vorgabetext"/>
        <w:tabs>
          <w:tab w:val="clear" w:pos="397"/>
        </w:tabs>
      </w:pPr>
      <w:r>
        <w:t>Ergänzend ist festzuhalten, dass g</w:t>
      </w:r>
      <w:r w:rsidRPr="00A12671">
        <w:t xml:space="preserve">emäss einer Weisung des Bundesamtes für Justiz </w:t>
      </w:r>
      <w:r>
        <w:t xml:space="preserve">es den Betreibungsämtern derzeit allerdings </w:t>
      </w:r>
      <w:r w:rsidRPr="00A12671">
        <w:t>ausdrücklich untersagt</w:t>
      </w:r>
      <w:r w:rsidRPr="000D5CCA">
        <w:t xml:space="preserve"> </w:t>
      </w:r>
      <w:r>
        <w:t>ist</w:t>
      </w:r>
      <w:r w:rsidRPr="00A12671">
        <w:t xml:space="preserve">, die Richtigkeit von Daten (insbesondere </w:t>
      </w:r>
      <w:r>
        <w:t xml:space="preserve">den </w:t>
      </w:r>
      <w:r w:rsidRPr="00A12671">
        <w:t>Wohnort) abzuklären, wenn jemand eine</w:t>
      </w:r>
      <w:r>
        <w:t xml:space="preserve"> </w:t>
      </w:r>
      <w:r w:rsidRPr="00A12671">
        <w:t>Betreibung</w:t>
      </w:r>
      <w:r w:rsidRPr="00A12671">
        <w:t>s</w:t>
      </w:r>
      <w:r>
        <w:t>auskunft</w:t>
      </w:r>
      <w:r w:rsidRPr="00A12671">
        <w:t xml:space="preserve"> verlangt. </w:t>
      </w:r>
      <w:r>
        <w:t>Diese Weisung wird von v</w:t>
      </w:r>
      <w:r w:rsidRPr="00A12671">
        <w:t>erschiedene</w:t>
      </w:r>
      <w:r>
        <w:t>n</w:t>
      </w:r>
      <w:r w:rsidRPr="00A12671">
        <w:t xml:space="preserve"> Gerichtsurteile</w:t>
      </w:r>
      <w:r>
        <w:t>n</w:t>
      </w:r>
      <w:r w:rsidRPr="00A12671">
        <w:t xml:space="preserve"> </w:t>
      </w:r>
      <w:r>
        <w:t>ge</w:t>
      </w:r>
      <w:r w:rsidRPr="00A12671">
        <w:t>stütz</w:t>
      </w:r>
      <w:r>
        <w:t>t</w:t>
      </w:r>
      <w:r w:rsidRPr="00A12671">
        <w:t xml:space="preserve">. </w:t>
      </w:r>
      <w:r>
        <w:t xml:space="preserve">Kommt das </w:t>
      </w:r>
      <w:r w:rsidRPr="00A12671">
        <w:t xml:space="preserve">Bundesamt für Justiz </w:t>
      </w:r>
      <w:r>
        <w:t>nicht auf diese Weisung zurück, ist die Aussagekraft eines kantonalen Auszugs beschränkt. Insbesondere kann mit falschen Angaben zum Wohnort ein leerer Betreibungsregisterauszug erschlichen werden (z.B. wenn ein kün</w:t>
      </w:r>
      <w:r>
        <w:t>f</w:t>
      </w:r>
      <w:r>
        <w:t>tiger Mieter dem möglichen Vermieter einen Auszug aus dem Betreibungsregister vo</w:t>
      </w:r>
      <w:r>
        <w:t>r</w:t>
      </w:r>
      <w:r>
        <w:t>legen muss).</w:t>
      </w:r>
    </w:p>
    <w:p w:rsidR="00675CD2" w:rsidRPr="002666C8" w:rsidRDefault="0069771C" w:rsidP="00675CD2">
      <w:pPr>
        <w:pStyle w:val="00Vorgabetext"/>
        <w:keepNext/>
        <w:spacing w:before="240"/>
      </w:pPr>
      <w:r>
        <w:rPr>
          <w:noProof/>
        </w:rPr>
        <w:pict>
          <v:shape id="Text Box 4" o:spid="_x0000_s1026" type="#_x0000_t202" style="position:absolute;margin-left:99.25pt;margin-top:785.2pt;width:425.15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uKuAIAAMA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" filled="f" stroked="f">
            <v:textbox style="mso-next-textbox:#Text Box 4">
              <w:txbxContent>
                <w:p w:rsidR="00675CD2" w:rsidRPr="00750AE0" w:rsidRDefault="00675CD2" w:rsidP="00675CD2"/>
              </w:txbxContent>
            </v:textbox>
            <w10:wrap anchorx="page" anchory="page"/>
          </v:shape>
        </w:pict>
      </w:r>
      <w:r w:rsidR="00675CD2" w:rsidRPr="002666C8">
        <w:t xml:space="preserve">1.3 Eingeschränkte Rechtssicherheit von Auszügen aus einem künftigen kantonalen Betreibungsregister </w:t>
      </w:r>
    </w:p>
    <w:p w:rsidR="00675CD2" w:rsidRDefault="00675CD2" w:rsidP="00675CD2">
      <w:pPr>
        <w:tabs>
          <w:tab w:val="left" w:pos="567"/>
          <w:tab w:val="left" w:pos="1134"/>
          <w:tab w:val="left" w:pos="1701"/>
          <w:tab w:val="left" w:pos="2268"/>
          <w:tab w:val="left" w:pos="2835"/>
        </w:tabs>
      </w:pPr>
      <w:r>
        <w:t>Die vor der Einführung des kantonalen Betreibungsregisters erhobenen Betreibungen könnten nur mit aussergewöhnlich hohem Aufwand erfasst werden. Für Auskünfte vor der Einführung des kantonalen Registers müsste mithin bei den Betreibungsämtern sämtlicher früherer Wohnsitze angefragt werden. Betreibungsauskünfte wären auch bei einem kantonalen Betreibungsregister auf den Kanton Zürich beschränkt. Bei Zuzug aus einem anderen Kanton, wäre für eine lückenlose Auskunft zusätzlich eine Anfrage am Betreibungsamt des früheren, ausserkantonalen Wohnsitzes nötig. Betreibungsr</w:t>
      </w:r>
      <w:r>
        <w:t>e</w:t>
      </w:r>
      <w:r>
        <w:t>gisterauskünfte enthalten Angaben über Betreibungen des laufenden Jahres sowie über die vergangenen fünf Jahre seit Auskunftserhebung. Aus diesem Grund wäre ein kantonales Register für wenigstens sechs Jahre ab Inbetriebnahme nur eingeschränkt aussagekräftig, da die vorhandenen Datensätze betreffend Betriebene für das einheitl</w:t>
      </w:r>
      <w:r>
        <w:t>i</w:t>
      </w:r>
      <w:r>
        <w:t>che kantonale Betreibungsregister nicht ohne einen enormen zusätzlichen Persona</w:t>
      </w:r>
      <w:r>
        <w:t>l</w:t>
      </w:r>
      <w:r>
        <w:t>aufwand seitens der Betreibungsämter resp. seitens der Sitzgemeinden rückwirkend aufbereitet werden können</w:t>
      </w:r>
      <w:r w:rsidRPr="00A12671">
        <w:t>.</w:t>
      </w:r>
      <w:r w:rsidRPr="006E43FC">
        <w:t xml:space="preserve"> </w:t>
      </w:r>
    </w:p>
    <w:p w:rsidR="00675CD2" w:rsidRDefault="00675CD2" w:rsidP="00675CD2">
      <w:pPr>
        <w:pStyle w:val="00Vorgabetext"/>
        <w:tabs>
          <w:tab w:val="clear" w:pos="397"/>
          <w:tab w:val="left" w:pos="426"/>
        </w:tabs>
        <w:ind w:left="426" w:hanging="426"/>
      </w:pPr>
      <w:r>
        <w:t xml:space="preserve">1.4. Kosten der Vorlage  </w:t>
      </w:r>
    </w:p>
    <w:p w:rsidR="00675CD2" w:rsidRDefault="00675CD2" w:rsidP="00675CD2">
      <w:pPr>
        <w:pStyle w:val="00Vorgabetext"/>
        <w:tabs>
          <w:tab w:val="clear" w:pos="397"/>
          <w:tab w:val="left" w:pos="426"/>
        </w:tabs>
      </w:pPr>
      <w:r>
        <w:t xml:space="preserve">In Art. 12a der Gebührenverordnung </w:t>
      </w:r>
      <w:r w:rsidRPr="00EC64AC">
        <w:t>vom 23. September 1996</w:t>
      </w:r>
      <w:r>
        <w:t xml:space="preserve"> zum Bundesgesetz über Schuldbetreibung und Konkurs (</w:t>
      </w:r>
      <w:proofErr w:type="spellStart"/>
      <w:r>
        <w:t>GebV</w:t>
      </w:r>
      <w:proofErr w:type="spellEnd"/>
      <w:r>
        <w:t xml:space="preserve"> SchKG) wird die zulässige Gebühr festg</w:t>
      </w:r>
      <w:r>
        <w:t>e</w:t>
      </w:r>
      <w:r>
        <w:lastRenderedPageBreak/>
        <w:t>legt. Für einen Auszug aus dem Betreibungsregister beträgt diese Gebühr Fr. 17.--.</w:t>
      </w:r>
      <w:r w:rsidRPr="00547D44">
        <w:t xml:space="preserve"> </w:t>
      </w:r>
      <w:r>
        <w:t>Ist nur noch ein Auszug einzuholen, hat dies einen Gebührenrückgang zur Folge. Dieser kann sich bei den einzelnen Betreibungsämtern unterschiedlich auswirken, da nicht abgeschätzt werden kann, bei welchen Betreibungsämtern die Dienstleistung künftig verlangt werden wird. Es ist auch denkbar, dass neu mehr Anfragen in den grösseren Städten erfolgen werden und diese – auf Kosten der übrigen Betreibungsämter – mehr Gebühreneinnahmen generieren werden.</w:t>
      </w:r>
    </w:p>
    <w:p w:rsidR="00675CD2" w:rsidRDefault="00675CD2" w:rsidP="00675CD2">
      <w:pPr>
        <w:pStyle w:val="00Vorgabetext"/>
        <w:tabs>
          <w:tab w:val="clear" w:pos="397"/>
          <w:tab w:val="left" w:pos="426"/>
        </w:tabs>
      </w:pPr>
      <w:r>
        <w:t>Die Erfassung der zusätzlichen Daten durch die Ämter führt zu Mehrkosten, da die Ämter bei jeder Betreibung eine zusätzliche Abfrage bei der KEP oder beim Handel</w:t>
      </w:r>
      <w:r>
        <w:t>s</w:t>
      </w:r>
      <w:r>
        <w:t>register vornehmen müssen. Erhebliche Kosten entstehen zudem für den Betrieb der Datenbank. Diese können noch nicht abgeschätzt werden. Zurzeit wird versucht, Daten für eine</w:t>
      </w:r>
      <w:r w:rsidR="00D81E42">
        <w:t xml:space="preserve"> ungefähre</w:t>
      </w:r>
      <w:r>
        <w:t xml:space="preserve"> Kostenschätzung zu erheben. Zwar profitieren die Gläubiger von der</w:t>
      </w:r>
      <w:r w:rsidR="00D81E42">
        <w:t xml:space="preserve"> zusätzlichen</w:t>
      </w:r>
      <w:r>
        <w:t xml:space="preserve"> Dienstleistung. Aufgrund der Festlegung der Gebühren durch den Bund, kann dieser Mehrwert aber nicht durch eine höhere Gebühr abgeschöpft we</w:t>
      </w:r>
      <w:r>
        <w:t>r</w:t>
      </w:r>
      <w:r>
        <w:t xml:space="preserve">den. Zudem ist davon auszugehen, dass der Bund eine einheitliche Datenerfassung zum Zwecke eines einheitlichen Betreibungsauszuges einführen wird, wenn auch der Zeitpunkt noch ungewiss ist. Ein Bericht zu einem in dieser Frage angenommenen Postulat Nr. 12.3957 von Martin </w:t>
      </w:r>
      <w:proofErr w:type="spellStart"/>
      <w:r>
        <w:t>Candinas</w:t>
      </w:r>
      <w:proofErr w:type="spellEnd"/>
      <w:r>
        <w:t>, sollte Ende 2016 fertiggestellt werden. Auf diesen Bericht hat der Bundesrat denn auch im Zusammenhang mit anderen Vorstö</w:t>
      </w:r>
      <w:r>
        <w:t>s</w:t>
      </w:r>
      <w:r>
        <w:t>sen hingewiesen (Interpellation Nr. 15.3267 von Jürg Grossen betr. „Bürokratieabbau durch die Harmonisierung der Betreibungsregister“ und Interpellation Nr. 16.3199 von Thomas Maier betr. „Harmonisierung der Betreibungsregister“). Noch nicht behandelt ist eine Parlamentarische Initiative in diesem Zusammenhang zur Vernetzung sämtl</w:t>
      </w:r>
      <w:r>
        <w:t>i</w:t>
      </w:r>
      <w:r>
        <w:t>cher Betreibungsregister (Parlamentarische Initiative Nr. 16.405 von Erich Hess). Vor Erstellung des Berichts und – bei positiver Beurteilung – Ausarbeitung einer Vorlage, kann sich die Bundesverwaltung weder bezüglich der angestrebten IT-Lösung, noch dem zu verwendenden Identifikator, äussern. Damit besteht aber das Risiko, dass im Kanton Zürich</w:t>
      </w:r>
      <w:r w:rsidDel="0083097D">
        <w:t xml:space="preserve"> </w:t>
      </w:r>
      <w:r>
        <w:t xml:space="preserve">erneut Kosten für ein einheitliches Register anfallen könnten. </w:t>
      </w:r>
    </w:p>
    <w:p w:rsidR="00675CD2" w:rsidRPr="00631043" w:rsidRDefault="00675CD2" w:rsidP="00675CD2">
      <w:pPr>
        <w:pStyle w:val="00Vorgabetext"/>
      </w:pPr>
    </w:p>
    <w:p w:rsidR="00943231" w:rsidRDefault="00943231" w:rsidP="00B20A49">
      <w:pPr>
        <w:pStyle w:val="00Vorgabetext"/>
      </w:pPr>
    </w:p>
    <w:sectPr w:rsidR="00943231" w:rsidSect="008B1519">
      <w:headerReference w:type="default" r:id="rId7"/>
      <w:headerReference w:type="first" r:id="rId8"/>
      <w:pgSz w:w="11906" w:h="16838" w:code="9"/>
      <w:pgMar w:top="3062" w:right="1418" w:bottom="1701" w:left="1985"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D2" w:rsidRDefault="00675CD2">
      <w:r>
        <w:separator/>
      </w:r>
    </w:p>
  </w:endnote>
  <w:endnote w:type="continuationSeparator" w:id="0">
    <w:p w:rsidR="00675CD2" w:rsidRDefault="00675C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D2" w:rsidRDefault="00675CD2">
      <w:r>
        <w:separator/>
      </w:r>
    </w:p>
  </w:footnote>
  <w:footnote w:type="continuationSeparator" w:id="0">
    <w:p w:rsidR="00675CD2" w:rsidRDefault="00675C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7089" w:tblpY="766"/>
      <w:tblW w:w="0" w:type="auto"/>
      <w:tblLayout w:type="fixed"/>
      <w:tblLook w:val="00A0"/>
    </w:tblPr>
    <w:tblGrid>
      <w:gridCol w:w="1134"/>
      <w:gridCol w:w="3594"/>
    </w:tblGrid>
    <w:tr w:rsidR="00441F3D" w:rsidTr="00946D14">
      <w:tc>
        <w:tcPr>
          <w:tcW w:w="1134" w:type="dxa"/>
        </w:tcPr>
        <w:p w:rsidR="00441F3D" w:rsidRDefault="00441F3D" w:rsidP="00946D14">
          <w:pPr>
            <w:pStyle w:val="00Vorgabetext"/>
          </w:pPr>
        </w:p>
      </w:tc>
      <w:tc>
        <w:tcPr>
          <w:tcW w:w="3594" w:type="dxa"/>
        </w:tcPr>
        <w:p w:rsidR="00441F3D" w:rsidRPr="00376A29" w:rsidRDefault="00441F3D" w:rsidP="00946D14">
          <w:pPr>
            <w:pStyle w:val="55Kopf"/>
          </w:pPr>
        </w:p>
        <w:p w:rsidR="00441F3D" w:rsidRPr="00376A29" w:rsidRDefault="00441F3D" w:rsidP="00946D14">
          <w:pPr>
            <w:pStyle w:val="55Kopf"/>
          </w:pPr>
        </w:p>
        <w:p w:rsidR="00441F3D" w:rsidRPr="00283ED8" w:rsidRDefault="00441F3D" w:rsidP="00946D14">
          <w:pPr>
            <w:pStyle w:val="55Kopf"/>
          </w:pPr>
          <w:r w:rsidRPr="00283ED8">
            <w:t xml:space="preserve">Seite </w:t>
          </w:r>
          <w:r w:rsidR="0069771C" w:rsidRPr="00283ED8">
            <w:rPr>
              <w:rStyle w:val="Seitenzahl"/>
            </w:rPr>
            <w:fldChar w:fldCharType="begin"/>
          </w:r>
          <w:r w:rsidRPr="00283ED8">
            <w:rPr>
              <w:rStyle w:val="Seitenzahl"/>
            </w:rPr>
            <w:instrText xml:space="preserve"> PAGE </w:instrText>
          </w:r>
          <w:r w:rsidR="0069771C" w:rsidRPr="00283ED8">
            <w:rPr>
              <w:rStyle w:val="Seitenzahl"/>
            </w:rPr>
            <w:fldChar w:fldCharType="separate"/>
          </w:r>
          <w:r w:rsidR="004241E8">
            <w:rPr>
              <w:rStyle w:val="Seitenzahl"/>
              <w:noProof/>
            </w:rPr>
            <w:t>3</w:t>
          </w:r>
          <w:r w:rsidR="0069771C" w:rsidRPr="00283ED8">
            <w:rPr>
              <w:rStyle w:val="Seitenzahl"/>
            </w:rPr>
            <w:fldChar w:fldCharType="end"/>
          </w:r>
          <w:r w:rsidRPr="00283ED8">
            <w:rPr>
              <w:rStyle w:val="Seitenzahl"/>
            </w:rPr>
            <w:t>/</w:t>
          </w:r>
          <w:r w:rsidR="0069771C" w:rsidRPr="00283ED8">
            <w:rPr>
              <w:rStyle w:val="Seitenzahl"/>
            </w:rPr>
            <w:fldChar w:fldCharType="begin"/>
          </w:r>
          <w:r w:rsidRPr="00283ED8">
            <w:rPr>
              <w:rStyle w:val="Seitenzahl"/>
            </w:rPr>
            <w:instrText xml:space="preserve"> NUMPAGES </w:instrText>
          </w:r>
          <w:r w:rsidR="0069771C" w:rsidRPr="00283ED8">
            <w:rPr>
              <w:rStyle w:val="Seitenzahl"/>
            </w:rPr>
            <w:fldChar w:fldCharType="separate"/>
          </w:r>
          <w:r w:rsidR="004241E8">
            <w:rPr>
              <w:rStyle w:val="Seitenzahl"/>
              <w:noProof/>
            </w:rPr>
            <w:t>4</w:t>
          </w:r>
          <w:r w:rsidR="0069771C" w:rsidRPr="00283ED8">
            <w:rPr>
              <w:rStyle w:val="Seitenzahl"/>
            </w:rPr>
            <w:fldChar w:fldCharType="end"/>
          </w:r>
        </w:p>
        <w:p w:rsidR="00441F3D" w:rsidRDefault="00441F3D" w:rsidP="00946D14">
          <w:pPr>
            <w:pStyle w:val="55Kopf"/>
          </w:pPr>
        </w:p>
        <w:p w:rsidR="00441F3D" w:rsidRDefault="00441F3D" w:rsidP="00946D14">
          <w:pPr>
            <w:pStyle w:val="55Kopf"/>
          </w:pPr>
        </w:p>
      </w:tc>
    </w:tr>
  </w:tbl>
  <w:p w:rsidR="00441F3D" w:rsidRDefault="00107ED8">
    <w:pPr>
      <w:pStyle w:val="Kopfzeile"/>
    </w:pPr>
    <w:r>
      <w:rPr>
        <w:noProof/>
      </w:rPr>
      <w:drawing>
        <wp:anchor distT="0" distB="0" distL="114300" distR="114300" simplePos="0" relativeHeight="251658752"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5103" w:rightFromText="142" w:vertAnchor="page" w:horzAnchor="page" w:tblpX="7089" w:tblpY="766"/>
      <w:tblW w:w="0" w:type="auto"/>
      <w:tblLayout w:type="fixed"/>
      <w:tblLook w:val="00A0"/>
    </w:tblPr>
    <w:tblGrid>
      <w:gridCol w:w="1134"/>
      <w:gridCol w:w="3594"/>
    </w:tblGrid>
    <w:tr w:rsidR="00441F3D" w:rsidTr="00946D14">
      <w:tc>
        <w:tcPr>
          <w:tcW w:w="1134" w:type="dxa"/>
        </w:tcPr>
        <w:p w:rsidR="00441F3D" w:rsidRDefault="00441F3D" w:rsidP="00946D14">
          <w:pPr>
            <w:pStyle w:val="00Vorgabetext"/>
          </w:pPr>
        </w:p>
      </w:tc>
      <w:tc>
        <w:tcPr>
          <w:tcW w:w="3594" w:type="dxa"/>
        </w:tcPr>
        <w:p w:rsidR="00F871FE" w:rsidRPr="00376A29" w:rsidRDefault="00F871FE" w:rsidP="00F871FE">
          <w:pPr>
            <w:pStyle w:val="55Kopf"/>
          </w:pPr>
        </w:p>
        <w:p w:rsidR="00F871FE" w:rsidRPr="00376A29" w:rsidRDefault="00675CD2" w:rsidP="00F871FE">
          <w:pPr>
            <w:pStyle w:val="55Kopf"/>
          </w:pPr>
          <w:r w:rsidRPr="00675CD2">
            <w:t>Kanton Zürich</w:t>
          </w:r>
        </w:p>
        <w:p w:rsidR="00F871FE" w:rsidRPr="004F7A3E" w:rsidRDefault="00675CD2" w:rsidP="00F871FE">
          <w:pPr>
            <w:pStyle w:val="552Kopfblack"/>
          </w:pPr>
          <w:r w:rsidRPr="00675CD2">
            <w:t>Direktion der Justiz und des Innern</w:t>
          </w:r>
        </w:p>
        <w:p w:rsidR="00441F3D" w:rsidRDefault="00675CD2" w:rsidP="00F871FE">
          <w:pPr>
            <w:pStyle w:val="55Kopf"/>
          </w:pPr>
          <w:r w:rsidRPr="00675CD2">
            <w:t>Generalsekretariat</w:t>
          </w:r>
        </w:p>
        <w:p w:rsidR="00F871FE" w:rsidRDefault="00F871FE" w:rsidP="00F871FE">
          <w:pPr>
            <w:pStyle w:val="55Kopf"/>
          </w:pPr>
        </w:p>
        <w:p w:rsidR="0093770E" w:rsidRDefault="0093770E" w:rsidP="00F871FE">
          <w:pPr>
            <w:pStyle w:val="55Kopf"/>
          </w:pPr>
          <w:r>
            <w:t>11. Juli 2016</w:t>
          </w:r>
        </w:p>
        <w:p w:rsidR="00441F3D" w:rsidRDefault="00441F3D" w:rsidP="00D75B8E">
          <w:pPr>
            <w:pStyle w:val="55Kopf"/>
          </w:pPr>
        </w:p>
      </w:tc>
    </w:tr>
  </w:tbl>
  <w:p w:rsidR="00441F3D" w:rsidRDefault="00107ED8">
    <w:pPr>
      <w:pStyle w:val="Kopfzeile"/>
    </w:pPr>
    <w:r>
      <w:rPr>
        <w:noProof/>
      </w:rPr>
      <w:drawing>
        <wp:anchor distT="0" distB="0" distL="114300" distR="114300" simplePos="0" relativeHeight="251657728"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2"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-900430</wp:posOffset>
          </wp:positionH>
          <wp:positionV relativeFrom="page">
            <wp:posOffset>269875</wp:posOffset>
          </wp:positionV>
          <wp:extent cx="831850" cy="1080135"/>
          <wp:effectExtent l="19050" t="0" r="6350" b="0"/>
          <wp:wrapNone/>
          <wp:docPr id="1"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rcRect/>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E0F7B0"/>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679C2BA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765285E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A38A5006"/>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CB0287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EB0010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CB4A7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E0385C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1AB6380C"/>
    <w:lvl w:ilvl="0">
      <w:start w:val="1"/>
      <w:numFmt w:val="decimal"/>
      <w:pStyle w:val="Listennummer"/>
      <w:lvlText w:val="%1."/>
      <w:lvlJc w:val="left"/>
      <w:pPr>
        <w:tabs>
          <w:tab w:val="num" w:pos="360"/>
        </w:tabs>
        <w:ind w:left="360" w:hanging="360"/>
      </w:pPr>
    </w:lvl>
  </w:abstractNum>
  <w:abstractNum w:abstractNumId="9">
    <w:nsid w:val="FFFFFF89"/>
    <w:multiLevelType w:val="singleLevel"/>
    <w:tmpl w:val="29342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D95162A"/>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6"/>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5"/>
  </w:num>
  <w:num w:numId="4">
    <w:abstractNumId w:val="11"/>
  </w:num>
  <w:num w:numId="5">
    <w:abstractNumId w:val="13"/>
    <w:lvlOverride w:ilvl="0">
      <w:lvl w:ilvl="0">
        <w:start w:val="1"/>
        <w:numFmt w:val="decimal"/>
        <w:pStyle w:val="21NumAbsatz1"/>
        <w:lvlText w:val="%1."/>
        <w:lvlJc w:val="right"/>
        <w:pPr>
          <w:tabs>
            <w:tab w:val="num" w:pos="397"/>
          </w:tabs>
          <w:ind w:left="0" w:firstLine="284"/>
        </w:pPr>
        <w:rPr>
          <w:rFonts w:hint="default"/>
        </w:rPr>
      </w:lvl>
    </w:lvlOverride>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3"/>
  </w:num>
  <w:num w:numId="16">
    <w:abstractNumId w:val="13"/>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6"/>
  </w:num>
  <w:num w:numId="29">
    <w:abstractNumId w:val="12"/>
  </w:num>
  <w:num w:numId="30">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0002"/>
  <w:defaultTabStop w:val="709"/>
  <w:autoHyphenation/>
  <w:hyphenationZone w:val="425"/>
  <w:characterSpacingControl w:val="doNotCompress"/>
  <w:hdrShapeDefaults>
    <o:shapedefaults v:ext="edit" spidmax="37889"/>
  </w:hdrShapeDefaults>
  <w:footnotePr>
    <w:footnote w:id="-1"/>
    <w:footnote w:id="0"/>
  </w:footnotePr>
  <w:endnotePr>
    <w:endnote w:id="-1"/>
    <w:endnote w:id="0"/>
  </w:endnotePr>
  <w:compat>
    <w:doNotExpandShiftReturn/>
  </w:compat>
  <w:rsids>
    <w:rsidRoot w:val="009109FF"/>
    <w:rsid w:val="00005002"/>
    <w:rsid w:val="00012543"/>
    <w:rsid w:val="000168F2"/>
    <w:rsid w:val="0002054E"/>
    <w:rsid w:val="0002442C"/>
    <w:rsid w:val="00030EFB"/>
    <w:rsid w:val="00031449"/>
    <w:rsid w:val="000377E2"/>
    <w:rsid w:val="00037B0F"/>
    <w:rsid w:val="00045F36"/>
    <w:rsid w:val="00050BB9"/>
    <w:rsid w:val="00075C6A"/>
    <w:rsid w:val="00084A79"/>
    <w:rsid w:val="000851A0"/>
    <w:rsid w:val="00097B41"/>
    <w:rsid w:val="000B65F2"/>
    <w:rsid w:val="000C201D"/>
    <w:rsid w:val="000D48B1"/>
    <w:rsid w:val="000D6561"/>
    <w:rsid w:val="000E2323"/>
    <w:rsid w:val="000E4203"/>
    <w:rsid w:val="000E7C2A"/>
    <w:rsid w:val="001076B9"/>
    <w:rsid w:val="00107ED8"/>
    <w:rsid w:val="0012521A"/>
    <w:rsid w:val="00136F15"/>
    <w:rsid w:val="00140AD8"/>
    <w:rsid w:val="00142BB6"/>
    <w:rsid w:val="001465B6"/>
    <w:rsid w:val="00147772"/>
    <w:rsid w:val="001636B8"/>
    <w:rsid w:val="001751FD"/>
    <w:rsid w:val="001762BA"/>
    <w:rsid w:val="001768A7"/>
    <w:rsid w:val="00180714"/>
    <w:rsid w:val="00180C42"/>
    <w:rsid w:val="0018405E"/>
    <w:rsid w:val="0018490D"/>
    <w:rsid w:val="0018593D"/>
    <w:rsid w:val="001933CB"/>
    <w:rsid w:val="001955E0"/>
    <w:rsid w:val="00197237"/>
    <w:rsid w:val="001A3639"/>
    <w:rsid w:val="001A44D4"/>
    <w:rsid w:val="001B22CB"/>
    <w:rsid w:val="001C24E5"/>
    <w:rsid w:val="001C56D3"/>
    <w:rsid w:val="001D3553"/>
    <w:rsid w:val="001D3976"/>
    <w:rsid w:val="001D5799"/>
    <w:rsid w:val="001E0B27"/>
    <w:rsid w:val="001F0A95"/>
    <w:rsid w:val="001F0D18"/>
    <w:rsid w:val="0021346F"/>
    <w:rsid w:val="00224F64"/>
    <w:rsid w:val="00233A44"/>
    <w:rsid w:val="00235C3D"/>
    <w:rsid w:val="002411D6"/>
    <w:rsid w:val="00241973"/>
    <w:rsid w:val="00250703"/>
    <w:rsid w:val="00253F67"/>
    <w:rsid w:val="00261AE8"/>
    <w:rsid w:val="00263102"/>
    <w:rsid w:val="00272E4C"/>
    <w:rsid w:val="002742C8"/>
    <w:rsid w:val="00274D54"/>
    <w:rsid w:val="00276FD4"/>
    <w:rsid w:val="00283ED8"/>
    <w:rsid w:val="00286314"/>
    <w:rsid w:val="00291595"/>
    <w:rsid w:val="0029377E"/>
    <w:rsid w:val="00293C74"/>
    <w:rsid w:val="002A3EC0"/>
    <w:rsid w:val="002B2732"/>
    <w:rsid w:val="002C320F"/>
    <w:rsid w:val="002D2852"/>
    <w:rsid w:val="002D7E89"/>
    <w:rsid w:val="002E1AD6"/>
    <w:rsid w:val="002E2A2A"/>
    <w:rsid w:val="002E58C5"/>
    <w:rsid w:val="00301FFE"/>
    <w:rsid w:val="003046F8"/>
    <w:rsid w:val="0030756B"/>
    <w:rsid w:val="00311B52"/>
    <w:rsid w:val="00311DAE"/>
    <w:rsid w:val="003177AD"/>
    <w:rsid w:val="00321516"/>
    <w:rsid w:val="003234C7"/>
    <w:rsid w:val="00332B4D"/>
    <w:rsid w:val="00336A90"/>
    <w:rsid w:val="00350AF1"/>
    <w:rsid w:val="0037192D"/>
    <w:rsid w:val="003730B0"/>
    <w:rsid w:val="003773AB"/>
    <w:rsid w:val="00382E4D"/>
    <w:rsid w:val="003A1E2C"/>
    <w:rsid w:val="003A3651"/>
    <w:rsid w:val="003A669D"/>
    <w:rsid w:val="003B4778"/>
    <w:rsid w:val="003C0C83"/>
    <w:rsid w:val="003C2DF4"/>
    <w:rsid w:val="003C63C3"/>
    <w:rsid w:val="003D275A"/>
    <w:rsid w:val="003D70B4"/>
    <w:rsid w:val="003E2808"/>
    <w:rsid w:val="003E468B"/>
    <w:rsid w:val="004241E8"/>
    <w:rsid w:val="00430880"/>
    <w:rsid w:val="004338E5"/>
    <w:rsid w:val="00435785"/>
    <w:rsid w:val="0044003B"/>
    <w:rsid w:val="00441F3D"/>
    <w:rsid w:val="004442A1"/>
    <w:rsid w:val="00446275"/>
    <w:rsid w:val="0046494C"/>
    <w:rsid w:val="0046689E"/>
    <w:rsid w:val="004A1EA2"/>
    <w:rsid w:val="004A320D"/>
    <w:rsid w:val="004A7A1A"/>
    <w:rsid w:val="004B5F2C"/>
    <w:rsid w:val="004C053C"/>
    <w:rsid w:val="004D182A"/>
    <w:rsid w:val="004E1955"/>
    <w:rsid w:val="004F09FB"/>
    <w:rsid w:val="004F53D4"/>
    <w:rsid w:val="004F6A65"/>
    <w:rsid w:val="005075F5"/>
    <w:rsid w:val="0051374F"/>
    <w:rsid w:val="0053341B"/>
    <w:rsid w:val="005338B9"/>
    <w:rsid w:val="00533E7D"/>
    <w:rsid w:val="0053483A"/>
    <w:rsid w:val="00540649"/>
    <w:rsid w:val="00542521"/>
    <w:rsid w:val="00543FA0"/>
    <w:rsid w:val="00551C35"/>
    <w:rsid w:val="0055259C"/>
    <w:rsid w:val="005543D1"/>
    <w:rsid w:val="00564F8F"/>
    <w:rsid w:val="005664EA"/>
    <w:rsid w:val="00573410"/>
    <w:rsid w:val="00575674"/>
    <w:rsid w:val="0058230E"/>
    <w:rsid w:val="00583F67"/>
    <w:rsid w:val="00585D06"/>
    <w:rsid w:val="00591BC8"/>
    <w:rsid w:val="005946B3"/>
    <w:rsid w:val="005A2A77"/>
    <w:rsid w:val="005B1328"/>
    <w:rsid w:val="005B44AB"/>
    <w:rsid w:val="005B60DE"/>
    <w:rsid w:val="005C6680"/>
    <w:rsid w:val="005C796D"/>
    <w:rsid w:val="005D6ED6"/>
    <w:rsid w:val="005F67D1"/>
    <w:rsid w:val="005F6F12"/>
    <w:rsid w:val="00601211"/>
    <w:rsid w:val="006030D9"/>
    <w:rsid w:val="006058C6"/>
    <w:rsid w:val="00612D5A"/>
    <w:rsid w:val="00617BE2"/>
    <w:rsid w:val="00621891"/>
    <w:rsid w:val="00624B69"/>
    <w:rsid w:val="00624D91"/>
    <w:rsid w:val="00634DAE"/>
    <w:rsid w:val="006651AA"/>
    <w:rsid w:val="00665A75"/>
    <w:rsid w:val="00671C18"/>
    <w:rsid w:val="00672ED4"/>
    <w:rsid w:val="00674C5D"/>
    <w:rsid w:val="00675CD2"/>
    <w:rsid w:val="00680D59"/>
    <w:rsid w:val="00691CCF"/>
    <w:rsid w:val="0069771C"/>
    <w:rsid w:val="006A11E7"/>
    <w:rsid w:val="006B4EB6"/>
    <w:rsid w:val="006C1729"/>
    <w:rsid w:val="006C27C7"/>
    <w:rsid w:val="006C3898"/>
    <w:rsid w:val="006C38F5"/>
    <w:rsid w:val="006C7E9D"/>
    <w:rsid w:val="006D7914"/>
    <w:rsid w:val="006E3817"/>
    <w:rsid w:val="006F3F14"/>
    <w:rsid w:val="006F5ECE"/>
    <w:rsid w:val="007005F7"/>
    <w:rsid w:val="0071123E"/>
    <w:rsid w:val="007208E1"/>
    <w:rsid w:val="00731351"/>
    <w:rsid w:val="00733C52"/>
    <w:rsid w:val="00744200"/>
    <w:rsid w:val="00755496"/>
    <w:rsid w:val="00761100"/>
    <w:rsid w:val="00773767"/>
    <w:rsid w:val="00780765"/>
    <w:rsid w:val="00782009"/>
    <w:rsid w:val="00784F7B"/>
    <w:rsid w:val="007A4E05"/>
    <w:rsid w:val="007A5EEC"/>
    <w:rsid w:val="007A7618"/>
    <w:rsid w:val="007B308F"/>
    <w:rsid w:val="007C0481"/>
    <w:rsid w:val="007C0938"/>
    <w:rsid w:val="007C0D3C"/>
    <w:rsid w:val="007D72EA"/>
    <w:rsid w:val="007F2530"/>
    <w:rsid w:val="007F34D6"/>
    <w:rsid w:val="007F6CC8"/>
    <w:rsid w:val="0080072F"/>
    <w:rsid w:val="00813B3E"/>
    <w:rsid w:val="00816954"/>
    <w:rsid w:val="00820DDF"/>
    <w:rsid w:val="00831887"/>
    <w:rsid w:val="0083316A"/>
    <w:rsid w:val="00840428"/>
    <w:rsid w:val="008463B2"/>
    <w:rsid w:val="00851810"/>
    <w:rsid w:val="00857582"/>
    <w:rsid w:val="00861B8E"/>
    <w:rsid w:val="00863CD4"/>
    <w:rsid w:val="00870BF3"/>
    <w:rsid w:val="00874FFC"/>
    <w:rsid w:val="00883E10"/>
    <w:rsid w:val="00896D86"/>
    <w:rsid w:val="008B1519"/>
    <w:rsid w:val="008C3DC7"/>
    <w:rsid w:val="008D0D56"/>
    <w:rsid w:val="008D3C7F"/>
    <w:rsid w:val="008E2D9D"/>
    <w:rsid w:val="008E5A9E"/>
    <w:rsid w:val="008F063D"/>
    <w:rsid w:val="008F2159"/>
    <w:rsid w:val="008F3FCB"/>
    <w:rsid w:val="008F5FA3"/>
    <w:rsid w:val="008F71C7"/>
    <w:rsid w:val="0090453A"/>
    <w:rsid w:val="00905F06"/>
    <w:rsid w:val="009109FF"/>
    <w:rsid w:val="009141FD"/>
    <w:rsid w:val="00914CC9"/>
    <w:rsid w:val="00920BC1"/>
    <w:rsid w:val="00922A7A"/>
    <w:rsid w:val="00927ABB"/>
    <w:rsid w:val="00930AA0"/>
    <w:rsid w:val="009316D6"/>
    <w:rsid w:val="00932C26"/>
    <w:rsid w:val="0093428D"/>
    <w:rsid w:val="0093770E"/>
    <w:rsid w:val="0094022E"/>
    <w:rsid w:val="00943231"/>
    <w:rsid w:val="00946D14"/>
    <w:rsid w:val="009476A4"/>
    <w:rsid w:val="00960A98"/>
    <w:rsid w:val="00970E02"/>
    <w:rsid w:val="0097191D"/>
    <w:rsid w:val="0097672E"/>
    <w:rsid w:val="00982972"/>
    <w:rsid w:val="00985258"/>
    <w:rsid w:val="00985616"/>
    <w:rsid w:val="00991CB1"/>
    <w:rsid w:val="00996A64"/>
    <w:rsid w:val="009A17F9"/>
    <w:rsid w:val="009B2C90"/>
    <w:rsid w:val="009C240B"/>
    <w:rsid w:val="009C396F"/>
    <w:rsid w:val="009C7F0E"/>
    <w:rsid w:val="009D390E"/>
    <w:rsid w:val="009D43D5"/>
    <w:rsid w:val="009D50A6"/>
    <w:rsid w:val="009E06CA"/>
    <w:rsid w:val="009F3232"/>
    <w:rsid w:val="009F788E"/>
    <w:rsid w:val="00A00FE7"/>
    <w:rsid w:val="00A04218"/>
    <w:rsid w:val="00A10CD6"/>
    <w:rsid w:val="00A13754"/>
    <w:rsid w:val="00A27D17"/>
    <w:rsid w:val="00A309A3"/>
    <w:rsid w:val="00A35818"/>
    <w:rsid w:val="00A60735"/>
    <w:rsid w:val="00A71022"/>
    <w:rsid w:val="00A7508C"/>
    <w:rsid w:val="00A75AFE"/>
    <w:rsid w:val="00A831A9"/>
    <w:rsid w:val="00A858AF"/>
    <w:rsid w:val="00A85A68"/>
    <w:rsid w:val="00A862E9"/>
    <w:rsid w:val="00A956DD"/>
    <w:rsid w:val="00AA1C8D"/>
    <w:rsid w:val="00AA6464"/>
    <w:rsid w:val="00AC1DF4"/>
    <w:rsid w:val="00AD3AD1"/>
    <w:rsid w:val="00AD7BAE"/>
    <w:rsid w:val="00AE65AF"/>
    <w:rsid w:val="00AE7B14"/>
    <w:rsid w:val="00AF261F"/>
    <w:rsid w:val="00B0550E"/>
    <w:rsid w:val="00B2014B"/>
    <w:rsid w:val="00B20A49"/>
    <w:rsid w:val="00B341F3"/>
    <w:rsid w:val="00B35099"/>
    <w:rsid w:val="00B4079C"/>
    <w:rsid w:val="00B460F1"/>
    <w:rsid w:val="00B60331"/>
    <w:rsid w:val="00B66008"/>
    <w:rsid w:val="00B70376"/>
    <w:rsid w:val="00B764E7"/>
    <w:rsid w:val="00B81CAC"/>
    <w:rsid w:val="00B87B6A"/>
    <w:rsid w:val="00B90276"/>
    <w:rsid w:val="00B96DF1"/>
    <w:rsid w:val="00B96F07"/>
    <w:rsid w:val="00BB5271"/>
    <w:rsid w:val="00BD36F8"/>
    <w:rsid w:val="00BE7E80"/>
    <w:rsid w:val="00BF150F"/>
    <w:rsid w:val="00BF179A"/>
    <w:rsid w:val="00BF2572"/>
    <w:rsid w:val="00BF6A27"/>
    <w:rsid w:val="00BF743C"/>
    <w:rsid w:val="00C00B12"/>
    <w:rsid w:val="00C024E0"/>
    <w:rsid w:val="00C20C29"/>
    <w:rsid w:val="00C22C61"/>
    <w:rsid w:val="00C414B5"/>
    <w:rsid w:val="00C534C5"/>
    <w:rsid w:val="00C53E8A"/>
    <w:rsid w:val="00C5427A"/>
    <w:rsid w:val="00C54657"/>
    <w:rsid w:val="00C55518"/>
    <w:rsid w:val="00C55796"/>
    <w:rsid w:val="00C6204A"/>
    <w:rsid w:val="00C62AA3"/>
    <w:rsid w:val="00C64D91"/>
    <w:rsid w:val="00C7253A"/>
    <w:rsid w:val="00C80CAC"/>
    <w:rsid w:val="00C8375A"/>
    <w:rsid w:val="00C91889"/>
    <w:rsid w:val="00C92630"/>
    <w:rsid w:val="00CA176A"/>
    <w:rsid w:val="00CC2B52"/>
    <w:rsid w:val="00CD4A89"/>
    <w:rsid w:val="00CD7C3F"/>
    <w:rsid w:val="00CE0444"/>
    <w:rsid w:val="00CE176B"/>
    <w:rsid w:val="00CF2FBC"/>
    <w:rsid w:val="00D0708D"/>
    <w:rsid w:val="00D25F40"/>
    <w:rsid w:val="00D311A4"/>
    <w:rsid w:val="00D60346"/>
    <w:rsid w:val="00D60532"/>
    <w:rsid w:val="00D715BC"/>
    <w:rsid w:val="00D72307"/>
    <w:rsid w:val="00D75B8E"/>
    <w:rsid w:val="00D7618E"/>
    <w:rsid w:val="00D81E42"/>
    <w:rsid w:val="00D86CE8"/>
    <w:rsid w:val="00D87386"/>
    <w:rsid w:val="00D9005C"/>
    <w:rsid w:val="00D91E0C"/>
    <w:rsid w:val="00D92462"/>
    <w:rsid w:val="00DA2F5D"/>
    <w:rsid w:val="00DA347A"/>
    <w:rsid w:val="00DB1EE5"/>
    <w:rsid w:val="00DB1F8A"/>
    <w:rsid w:val="00DD7FC0"/>
    <w:rsid w:val="00DE2BBF"/>
    <w:rsid w:val="00DF54A3"/>
    <w:rsid w:val="00DF5FAE"/>
    <w:rsid w:val="00E02EFE"/>
    <w:rsid w:val="00E03A84"/>
    <w:rsid w:val="00E05095"/>
    <w:rsid w:val="00E05665"/>
    <w:rsid w:val="00E10871"/>
    <w:rsid w:val="00E10F06"/>
    <w:rsid w:val="00E21E62"/>
    <w:rsid w:val="00E23287"/>
    <w:rsid w:val="00E2693C"/>
    <w:rsid w:val="00E36684"/>
    <w:rsid w:val="00E36D5A"/>
    <w:rsid w:val="00E404B1"/>
    <w:rsid w:val="00E42D50"/>
    <w:rsid w:val="00E4530D"/>
    <w:rsid w:val="00E53833"/>
    <w:rsid w:val="00E60190"/>
    <w:rsid w:val="00E6336C"/>
    <w:rsid w:val="00E708FB"/>
    <w:rsid w:val="00E76907"/>
    <w:rsid w:val="00E8298A"/>
    <w:rsid w:val="00E82A00"/>
    <w:rsid w:val="00E867F0"/>
    <w:rsid w:val="00E90236"/>
    <w:rsid w:val="00EA06B0"/>
    <w:rsid w:val="00EA1AD2"/>
    <w:rsid w:val="00EB69A9"/>
    <w:rsid w:val="00EB6FB1"/>
    <w:rsid w:val="00EC0A7D"/>
    <w:rsid w:val="00EC2C6F"/>
    <w:rsid w:val="00EC2E1F"/>
    <w:rsid w:val="00EC44C7"/>
    <w:rsid w:val="00ED71CB"/>
    <w:rsid w:val="00ED7DEA"/>
    <w:rsid w:val="00EE1E39"/>
    <w:rsid w:val="00EE1F54"/>
    <w:rsid w:val="00EE2DA5"/>
    <w:rsid w:val="00EE5AB5"/>
    <w:rsid w:val="00EF7A37"/>
    <w:rsid w:val="00F11C46"/>
    <w:rsid w:val="00F1460A"/>
    <w:rsid w:val="00F24E5F"/>
    <w:rsid w:val="00F32394"/>
    <w:rsid w:val="00F33E60"/>
    <w:rsid w:val="00F37D23"/>
    <w:rsid w:val="00F40804"/>
    <w:rsid w:val="00F53D28"/>
    <w:rsid w:val="00F60BBD"/>
    <w:rsid w:val="00F626AA"/>
    <w:rsid w:val="00F65BDB"/>
    <w:rsid w:val="00F7019F"/>
    <w:rsid w:val="00F74B9C"/>
    <w:rsid w:val="00F7554F"/>
    <w:rsid w:val="00F811DF"/>
    <w:rsid w:val="00F8594D"/>
    <w:rsid w:val="00F864D5"/>
    <w:rsid w:val="00F871FE"/>
    <w:rsid w:val="00F90326"/>
    <w:rsid w:val="00F94906"/>
    <w:rsid w:val="00F95F5A"/>
    <w:rsid w:val="00FA3F35"/>
    <w:rsid w:val="00FB2D42"/>
    <w:rsid w:val="00FC6356"/>
    <w:rsid w:val="00FD168F"/>
    <w:rsid w:val="00FE3920"/>
    <w:rsid w:val="00FF424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675CD2"/>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5338B9"/>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5338B9"/>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5338B9"/>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5338B9"/>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5338B9"/>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5338B9"/>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338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5338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F71C7"/>
    <w:pPr>
      <w:numPr>
        <w:ilvl w:val="3"/>
        <w:numId w:val="17"/>
      </w:numPr>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896D86"/>
    <w:pPr>
      <w:keepNext/>
      <w:keepLines/>
      <w:numPr>
        <w:numId w:val="4"/>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gitternetz">
    <w:name w:val="Table Grid"/>
    <w:basedOn w:val="NormaleTabelle"/>
    <w:semiHidden/>
    <w:rsid w:val="00946D14"/>
    <w:pPr>
      <w:spacing w:before="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7A7618"/>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050BB9"/>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A75AFE"/>
    <w:pPr>
      <w:spacing w:before="160"/>
    </w:pPr>
  </w:style>
  <w:style w:type="paragraph" w:styleId="Abbildungsverzeichnis">
    <w:name w:val="table of figur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pPr>
  </w:style>
  <w:style w:type="paragraph" w:styleId="Anfhrungszeichen">
    <w:name w:val="Quote"/>
    <w:basedOn w:val="Standard"/>
    <w:next w:val="Standard"/>
    <w:link w:val="AnfhrungszeichenZchn"/>
    <w:uiPriority w:val="29"/>
    <w:rsid w:val="005338B9"/>
    <w:rPr>
      <w:i/>
      <w:iCs/>
      <w:color w:val="000000" w:themeColor="text1"/>
    </w:rPr>
  </w:style>
  <w:style w:type="character" w:customStyle="1" w:styleId="AnfhrungszeichenZchn">
    <w:name w:val="Anführungszeichen Zchn"/>
    <w:basedOn w:val="Absatz-Standardschriftart"/>
    <w:link w:val="Anfhrungszeichen"/>
    <w:uiPriority w:val="29"/>
    <w:rsid w:val="005338B9"/>
    <w:rPr>
      <w:rFonts w:ascii="Arial" w:hAnsi="Arial"/>
      <w:i/>
      <w:iCs/>
      <w:color w:val="000000" w:themeColor="text1"/>
      <w:sz w:val="22"/>
      <w:szCs w:val="22"/>
    </w:rPr>
  </w:style>
  <w:style w:type="paragraph" w:styleId="Anrede">
    <w:name w:val="Salutation"/>
    <w:basedOn w:val="Standard"/>
    <w:next w:val="Standard"/>
    <w:link w:val="AnredeZchn"/>
    <w:rsid w:val="005338B9"/>
  </w:style>
  <w:style w:type="character" w:customStyle="1" w:styleId="AnredeZchn">
    <w:name w:val="Anrede Zchn"/>
    <w:basedOn w:val="Absatz-Standardschriftart"/>
    <w:link w:val="Anrede"/>
    <w:rsid w:val="005338B9"/>
    <w:rPr>
      <w:rFonts w:ascii="Arial" w:hAnsi="Arial"/>
      <w:sz w:val="22"/>
      <w:szCs w:val="22"/>
    </w:rPr>
  </w:style>
  <w:style w:type="paragraph" w:styleId="Aufzhlungszeichen">
    <w:name w:val="List Bullet"/>
    <w:basedOn w:val="Standard"/>
    <w:rsid w:val="005338B9"/>
    <w:pPr>
      <w:numPr>
        <w:numId w:val="18"/>
      </w:numPr>
      <w:contextualSpacing/>
    </w:pPr>
  </w:style>
  <w:style w:type="paragraph" w:styleId="Aufzhlungszeichen2">
    <w:name w:val="List Bullet 2"/>
    <w:basedOn w:val="Standard"/>
    <w:rsid w:val="005338B9"/>
    <w:pPr>
      <w:numPr>
        <w:numId w:val="19"/>
      </w:numPr>
      <w:contextualSpacing/>
    </w:pPr>
  </w:style>
  <w:style w:type="paragraph" w:styleId="Aufzhlungszeichen3">
    <w:name w:val="List Bullet 3"/>
    <w:basedOn w:val="Standard"/>
    <w:rsid w:val="005338B9"/>
    <w:pPr>
      <w:numPr>
        <w:numId w:val="20"/>
      </w:numPr>
      <w:contextualSpacing/>
    </w:pPr>
  </w:style>
  <w:style w:type="paragraph" w:styleId="Aufzhlungszeichen4">
    <w:name w:val="List Bullet 4"/>
    <w:basedOn w:val="Standard"/>
    <w:rsid w:val="005338B9"/>
    <w:pPr>
      <w:numPr>
        <w:numId w:val="21"/>
      </w:numPr>
      <w:contextualSpacing/>
    </w:pPr>
  </w:style>
  <w:style w:type="paragraph" w:styleId="Aufzhlungszeichen5">
    <w:name w:val="List Bullet 5"/>
    <w:basedOn w:val="Standard"/>
    <w:rsid w:val="005338B9"/>
    <w:pPr>
      <w:numPr>
        <w:numId w:val="22"/>
      </w:numPr>
      <w:contextualSpacing/>
    </w:pPr>
  </w:style>
  <w:style w:type="paragraph" w:styleId="Beschriftung">
    <w:name w:val="caption"/>
    <w:basedOn w:val="Standard"/>
    <w:next w:val="Standard"/>
    <w:semiHidden/>
    <w:unhideWhenUsed/>
    <w:rsid w:val="005338B9"/>
    <w:pPr>
      <w:spacing w:before="0" w:after="200"/>
    </w:pPr>
    <w:rPr>
      <w:b/>
      <w:bCs/>
      <w:color w:val="006AD4" w:themeColor="accent1"/>
      <w:sz w:val="18"/>
      <w:szCs w:val="18"/>
    </w:rPr>
  </w:style>
  <w:style w:type="character" w:styleId="BesuchterHyperlink">
    <w:name w:val="FollowedHyperlink"/>
    <w:basedOn w:val="Absatz-Standardschriftart"/>
    <w:rsid w:val="005338B9"/>
    <w:rPr>
      <w:color w:val="006AD4" w:themeColor="followedHyperlink"/>
      <w:u w:val="single"/>
    </w:rPr>
  </w:style>
  <w:style w:type="paragraph" w:styleId="Blocktext">
    <w:name w:val="Block Text"/>
    <w:basedOn w:val="Standard"/>
    <w:rsid w:val="005338B9"/>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5338B9"/>
    <w:rPr>
      <w:b/>
      <w:bCs/>
      <w:smallCaps/>
      <w:spacing w:val="5"/>
    </w:rPr>
  </w:style>
  <w:style w:type="paragraph" w:styleId="Datum">
    <w:name w:val="Date"/>
    <w:basedOn w:val="Standard"/>
    <w:next w:val="Standard"/>
    <w:link w:val="DatumZchn"/>
    <w:rsid w:val="005338B9"/>
  </w:style>
  <w:style w:type="character" w:customStyle="1" w:styleId="DatumZchn">
    <w:name w:val="Datum Zchn"/>
    <w:basedOn w:val="Absatz-Standardschriftart"/>
    <w:link w:val="Datum"/>
    <w:rsid w:val="005338B9"/>
    <w:rPr>
      <w:rFonts w:ascii="Arial" w:hAnsi="Arial"/>
      <w:sz w:val="22"/>
      <w:szCs w:val="22"/>
    </w:rPr>
  </w:style>
  <w:style w:type="paragraph" w:styleId="Dokumentstruktur">
    <w:name w:val="Document Map"/>
    <w:basedOn w:val="Standard"/>
    <w:link w:val="DokumentstrukturZchn"/>
    <w:rsid w:val="005338B9"/>
    <w:pPr>
      <w:spacing w:before="0"/>
    </w:pPr>
    <w:rPr>
      <w:rFonts w:ascii="Tahoma" w:hAnsi="Tahoma" w:cs="Tahoma"/>
      <w:sz w:val="16"/>
      <w:szCs w:val="16"/>
    </w:rPr>
  </w:style>
  <w:style w:type="character" w:customStyle="1" w:styleId="DokumentstrukturZchn">
    <w:name w:val="Dokumentstruktur Zchn"/>
    <w:basedOn w:val="Absatz-Standardschriftart"/>
    <w:link w:val="Dokumentstruktur"/>
    <w:rsid w:val="005338B9"/>
    <w:rPr>
      <w:rFonts w:ascii="Tahoma" w:hAnsi="Tahoma" w:cs="Tahoma"/>
      <w:sz w:val="16"/>
      <w:szCs w:val="16"/>
    </w:rPr>
  </w:style>
  <w:style w:type="paragraph" w:styleId="E-Mail-Signatur">
    <w:name w:val="E-mail Signature"/>
    <w:basedOn w:val="Standard"/>
    <w:link w:val="E-Mail-SignaturZchn"/>
    <w:rsid w:val="005338B9"/>
    <w:pPr>
      <w:spacing w:before="0"/>
    </w:pPr>
  </w:style>
  <w:style w:type="character" w:customStyle="1" w:styleId="E-Mail-SignaturZchn">
    <w:name w:val="E-Mail-Signatur Zchn"/>
    <w:basedOn w:val="Absatz-Standardschriftart"/>
    <w:link w:val="E-Mail-Signatur"/>
    <w:rsid w:val="005338B9"/>
    <w:rPr>
      <w:rFonts w:ascii="Arial" w:hAnsi="Arial"/>
      <w:sz w:val="22"/>
      <w:szCs w:val="22"/>
    </w:rPr>
  </w:style>
  <w:style w:type="paragraph" w:styleId="Endnotentext">
    <w:name w:val="endnote text"/>
    <w:basedOn w:val="Standard"/>
    <w:link w:val="EndnotentextZchn"/>
    <w:rsid w:val="005338B9"/>
    <w:pPr>
      <w:spacing w:before="0"/>
    </w:pPr>
    <w:rPr>
      <w:sz w:val="20"/>
      <w:szCs w:val="20"/>
    </w:rPr>
  </w:style>
  <w:style w:type="character" w:customStyle="1" w:styleId="EndnotentextZchn">
    <w:name w:val="Endnotentext Zchn"/>
    <w:basedOn w:val="Absatz-Standardschriftart"/>
    <w:link w:val="Endnotentext"/>
    <w:rsid w:val="005338B9"/>
    <w:rPr>
      <w:rFonts w:ascii="Arial" w:hAnsi="Arial"/>
    </w:rPr>
  </w:style>
  <w:style w:type="character" w:styleId="Endnotenzeichen">
    <w:name w:val="endnote reference"/>
    <w:basedOn w:val="Absatz-Standardschriftart"/>
    <w:rsid w:val="005338B9"/>
    <w:rPr>
      <w:vertAlign w:val="superscript"/>
    </w:rPr>
  </w:style>
  <w:style w:type="character" w:styleId="Fett">
    <w:name w:val="Strong"/>
    <w:basedOn w:val="Absatz-Standardschriftart"/>
    <w:rsid w:val="005338B9"/>
    <w:rPr>
      <w:b/>
      <w:bCs/>
    </w:rPr>
  </w:style>
  <w:style w:type="paragraph" w:styleId="Fu-Endnotenberschrift">
    <w:name w:val="Note Heading"/>
    <w:basedOn w:val="Standard"/>
    <w:next w:val="Standard"/>
    <w:link w:val="Fu-EndnotenberschriftZchn"/>
    <w:rsid w:val="005338B9"/>
    <w:pPr>
      <w:spacing w:before="0"/>
    </w:pPr>
  </w:style>
  <w:style w:type="character" w:customStyle="1" w:styleId="Fu-EndnotenberschriftZchn">
    <w:name w:val="Fuß/-Endnotenüberschrift Zchn"/>
    <w:basedOn w:val="Absatz-Standardschriftart"/>
    <w:link w:val="Fu-Endnotenberschrift"/>
    <w:rsid w:val="005338B9"/>
    <w:rPr>
      <w:rFonts w:ascii="Arial" w:hAnsi="Arial"/>
      <w:sz w:val="22"/>
      <w:szCs w:val="22"/>
    </w:rPr>
  </w:style>
  <w:style w:type="paragraph" w:styleId="Funotentext">
    <w:name w:val="footnote text"/>
    <w:basedOn w:val="Standard"/>
    <w:link w:val="FunotentextZchn"/>
    <w:rsid w:val="005338B9"/>
    <w:pPr>
      <w:spacing w:before="0"/>
    </w:pPr>
    <w:rPr>
      <w:sz w:val="20"/>
      <w:szCs w:val="20"/>
    </w:rPr>
  </w:style>
  <w:style w:type="character" w:customStyle="1" w:styleId="FunotentextZchn">
    <w:name w:val="Fußnotentext Zchn"/>
    <w:basedOn w:val="Absatz-Standardschriftart"/>
    <w:link w:val="Funotentext"/>
    <w:rsid w:val="005338B9"/>
    <w:rPr>
      <w:rFonts w:ascii="Arial" w:hAnsi="Arial"/>
    </w:rPr>
  </w:style>
  <w:style w:type="character" w:styleId="Funotenzeichen">
    <w:name w:val="footnote reference"/>
    <w:basedOn w:val="Absatz-Standardschriftart"/>
    <w:rsid w:val="005338B9"/>
    <w:rPr>
      <w:vertAlign w:val="superscript"/>
    </w:rPr>
  </w:style>
  <w:style w:type="paragraph" w:styleId="Gruformel">
    <w:name w:val="Closing"/>
    <w:basedOn w:val="Standard"/>
    <w:link w:val="GruformelZchn"/>
    <w:rsid w:val="005338B9"/>
    <w:pPr>
      <w:spacing w:before="0"/>
      <w:ind w:left="4252"/>
    </w:pPr>
  </w:style>
  <w:style w:type="character" w:customStyle="1" w:styleId="GruformelZchn">
    <w:name w:val="Grußformel Zchn"/>
    <w:basedOn w:val="Absatz-Standardschriftart"/>
    <w:link w:val="Gruformel"/>
    <w:rsid w:val="005338B9"/>
    <w:rPr>
      <w:rFonts w:ascii="Arial" w:hAnsi="Arial"/>
      <w:sz w:val="22"/>
      <w:szCs w:val="22"/>
    </w:rPr>
  </w:style>
  <w:style w:type="character" w:styleId="Hervorhebung">
    <w:name w:val="Emphasis"/>
    <w:basedOn w:val="Absatz-Standardschriftart"/>
    <w:rsid w:val="005338B9"/>
    <w:rPr>
      <w:i/>
      <w:iCs/>
    </w:rPr>
  </w:style>
  <w:style w:type="paragraph" w:styleId="HTMLAdresse">
    <w:name w:val="HTML Address"/>
    <w:basedOn w:val="Standard"/>
    <w:link w:val="HTMLAdresseZchn"/>
    <w:rsid w:val="005338B9"/>
    <w:pPr>
      <w:spacing w:before="0"/>
    </w:pPr>
    <w:rPr>
      <w:i/>
      <w:iCs/>
    </w:rPr>
  </w:style>
  <w:style w:type="character" w:customStyle="1" w:styleId="HTMLAdresseZchn">
    <w:name w:val="HTML Adresse Zchn"/>
    <w:basedOn w:val="Absatz-Standardschriftart"/>
    <w:link w:val="HTMLAdresse"/>
    <w:rsid w:val="005338B9"/>
    <w:rPr>
      <w:rFonts w:ascii="Arial" w:hAnsi="Arial"/>
      <w:i/>
      <w:iCs/>
      <w:sz w:val="22"/>
      <w:szCs w:val="22"/>
    </w:rPr>
  </w:style>
  <w:style w:type="character" w:styleId="HTMLAkronym">
    <w:name w:val="HTML Acronym"/>
    <w:basedOn w:val="Absatz-Standardschriftart"/>
    <w:rsid w:val="005338B9"/>
  </w:style>
  <w:style w:type="character" w:styleId="HTMLBeispiel">
    <w:name w:val="HTML Sample"/>
    <w:basedOn w:val="Absatz-Standardschriftart"/>
    <w:rsid w:val="005338B9"/>
    <w:rPr>
      <w:rFonts w:ascii="Consolas" w:hAnsi="Consolas" w:cs="Consolas"/>
      <w:sz w:val="24"/>
      <w:szCs w:val="24"/>
    </w:rPr>
  </w:style>
  <w:style w:type="character" w:styleId="HTMLCode">
    <w:name w:val="HTML Code"/>
    <w:basedOn w:val="Absatz-Standardschriftart"/>
    <w:rsid w:val="005338B9"/>
    <w:rPr>
      <w:rFonts w:ascii="Consolas" w:hAnsi="Consolas" w:cs="Consolas"/>
      <w:sz w:val="20"/>
      <w:szCs w:val="20"/>
    </w:rPr>
  </w:style>
  <w:style w:type="character" w:styleId="HTMLDefinition">
    <w:name w:val="HTML Definition"/>
    <w:basedOn w:val="Absatz-Standardschriftart"/>
    <w:rsid w:val="005338B9"/>
    <w:rPr>
      <w:i/>
      <w:iCs/>
    </w:rPr>
  </w:style>
  <w:style w:type="character" w:styleId="HTMLSchreibmaschine">
    <w:name w:val="HTML Typewriter"/>
    <w:basedOn w:val="Absatz-Standardschriftart"/>
    <w:rsid w:val="005338B9"/>
    <w:rPr>
      <w:rFonts w:ascii="Consolas" w:hAnsi="Consolas" w:cs="Consolas"/>
      <w:sz w:val="20"/>
      <w:szCs w:val="20"/>
    </w:rPr>
  </w:style>
  <w:style w:type="character" w:styleId="HTMLTastatur">
    <w:name w:val="HTML Keyboard"/>
    <w:basedOn w:val="Absatz-Standardschriftart"/>
    <w:rsid w:val="005338B9"/>
    <w:rPr>
      <w:rFonts w:ascii="Consolas" w:hAnsi="Consolas" w:cs="Consolas"/>
      <w:sz w:val="20"/>
      <w:szCs w:val="20"/>
    </w:rPr>
  </w:style>
  <w:style w:type="character" w:styleId="HTMLVariable">
    <w:name w:val="HTML Variable"/>
    <w:basedOn w:val="Absatz-Standardschriftart"/>
    <w:rsid w:val="005338B9"/>
    <w:rPr>
      <w:i/>
      <w:iCs/>
    </w:rPr>
  </w:style>
  <w:style w:type="paragraph" w:styleId="HTMLVorformatiert">
    <w:name w:val="HTML Preformatted"/>
    <w:basedOn w:val="Standard"/>
    <w:link w:val="HTMLVorformatiertZchn"/>
    <w:rsid w:val="005338B9"/>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5338B9"/>
    <w:rPr>
      <w:rFonts w:ascii="Consolas" w:hAnsi="Consolas" w:cs="Consolas"/>
    </w:rPr>
  </w:style>
  <w:style w:type="character" w:styleId="HTMLZitat">
    <w:name w:val="HTML Cite"/>
    <w:basedOn w:val="Absatz-Standardschriftart"/>
    <w:rsid w:val="005338B9"/>
    <w:rPr>
      <w:i/>
      <w:iCs/>
    </w:rPr>
  </w:style>
  <w:style w:type="paragraph" w:styleId="Index1">
    <w:name w:val="index 1"/>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5338B9"/>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5338B9"/>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5338B9"/>
    <w:pPr>
      <w:outlineLvl w:val="9"/>
    </w:pPr>
  </w:style>
  <w:style w:type="character" w:styleId="IntensiveHervorhebung">
    <w:name w:val="Intense Emphasis"/>
    <w:basedOn w:val="Absatz-Standardschriftart"/>
    <w:uiPriority w:val="21"/>
    <w:rsid w:val="005338B9"/>
    <w:rPr>
      <w:b/>
      <w:bCs/>
      <w:i/>
      <w:iCs/>
      <w:color w:val="006AD4" w:themeColor="accent1"/>
    </w:rPr>
  </w:style>
  <w:style w:type="character" w:styleId="IntensiverVerweis">
    <w:name w:val="Intense Reference"/>
    <w:basedOn w:val="Absatz-Standardschriftart"/>
    <w:uiPriority w:val="32"/>
    <w:rsid w:val="005338B9"/>
    <w:rPr>
      <w:b/>
      <w:bCs/>
      <w:smallCaps/>
      <w:color w:val="00ADEE" w:themeColor="accent2"/>
      <w:spacing w:val="5"/>
      <w:u w:val="single"/>
    </w:rPr>
  </w:style>
  <w:style w:type="paragraph" w:styleId="IntensivesAnfhrungszeichen">
    <w:name w:val="Intense Quote"/>
    <w:basedOn w:val="Standard"/>
    <w:next w:val="Standard"/>
    <w:link w:val="IntensivesAnfhrungszeichenZchn"/>
    <w:uiPriority w:val="30"/>
    <w:rsid w:val="005338B9"/>
    <w:pPr>
      <w:pBdr>
        <w:bottom w:val="single" w:sz="4" w:space="4" w:color="006AD4" w:themeColor="accent1"/>
      </w:pBdr>
      <w:spacing w:before="200" w:after="280"/>
      <w:ind w:left="936" w:right="936"/>
    </w:pPr>
    <w:rPr>
      <w:b/>
      <w:bCs/>
      <w:i/>
      <w:iCs/>
      <w:color w:val="006AD4" w:themeColor="accent1"/>
    </w:rPr>
  </w:style>
  <w:style w:type="character" w:customStyle="1" w:styleId="IntensivesAnfhrungszeichenZchn">
    <w:name w:val="Intensives Anführungszeichen Zchn"/>
    <w:basedOn w:val="Absatz-Standardschriftart"/>
    <w:link w:val="IntensivesAnfhrungszeichen"/>
    <w:uiPriority w:val="30"/>
    <w:rsid w:val="005338B9"/>
    <w:rPr>
      <w:rFonts w:ascii="Arial" w:hAnsi="Arial"/>
      <w:b/>
      <w:bCs/>
      <w:i/>
      <w:iCs/>
      <w:color w:val="006AD4" w:themeColor="accent1"/>
      <w:sz w:val="22"/>
      <w:szCs w:val="22"/>
    </w:rPr>
  </w:style>
  <w:style w:type="paragraph" w:styleId="KeinLeerraum">
    <w:name w:val="No Spacing"/>
    <w:uiPriority w:val="1"/>
    <w:rsid w:val="005338B9"/>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5338B9"/>
    <w:pPr>
      <w:ind w:left="283" w:hanging="283"/>
      <w:contextualSpacing/>
    </w:pPr>
  </w:style>
  <w:style w:type="paragraph" w:styleId="Liste2">
    <w:name w:val="List 2"/>
    <w:basedOn w:val="Standard"/>
    <w:rsid w:val="005338B9"/>
    <w:pPr>
      <w:ind w:left="566" w:hanging="283"/>
      <w:contextualSpacing/>
    </w:pPr>
  </w:style>
  <w:style w:type="paragraph" w:styleId="Liste3">
    <w:name w:val="List 3"/>
    <w:basedOn w:val="Standard"/>
    <w:rsid w:val="005338B9"/>
    <w:pPr>
      <w:ind w:left="849" w:hanging="283"/>
      <w:contextualSpacing/>
    </w:pPr>
  </w:style>
  <w:style w:type="paragraph" w:styleId="Liste4">
    <w:name w:val="List 4"/>
    <w:basedOn w:val="Standard"/>
    <w:rsid w:val="005338B9"/>
    <w:pPr>
      <w:ind w:left="1132" w:hanging="283"/>
      <w:contextualSpacing/>
    </w:pPr>
  </w:style>
  <w:style w:type="paragraph" w:styleId="Liste5">
    <w:name w:val="List 5"/>
    <w:basedOn w:val="Standard"/>
    <w:rsid w:val="005338B9"/>
    <w:pPr>
      <w:ind w:left="1415" w:hanging="283"/>
      <w:contextualSpacing/>
    </w:pPr>
  </w:style>
  <w:style w:type="paragraph" w:styleId="Listenabsatz">
    <w:name w:val="List Paragraph"/>
    <w:basedOn w:val="Standard"/>
    <w:uiPriority w:val="34"/>
    <w:rsid w:val="005338B9"/>
    <w:pPr>
      <w:ind w:left="720"/>
      <w:contextualSpacing/>
    </w:pPr>
  </w:style>
  <w:style w:type="paragraph" w:styleId="Listenfortsetzung">
    <w:name w:val="List Continue"/>
    <w:basedOn w:val="Standard"/>
    <w:rsid w:val="005338B9"/>
    <w:pPr>
      <w:spacing w:after="120"/>
      <w:ind w:left="283"/>
      <w:contextualSpacing/>
    </w:pPr>
  </w:style>
  <w:style w:type="paragraph" w:styleId="Listenfortsetzung2">
    <w:name w:val="List Continue 2"/>
    <w:basedOn w:val="Standard"/>
    <w:rsid w:val="005338B9"/>
    <w:pPr>
      <w:spacing w:after="120"/>
      <w:ind w:left="566"/>
      <w:contextualSpacing/>
    </w:pPr>
  </w:style>
  <w:style w:type="paragraph" w:styleId="Listenfortsetzung3">
    <w:name w:val="List Continue 3"/>
    <w:basedOn w:val="Standard"/>
    <w:rsid w:val="005338B9"/>
    <w:pPr>
      <w:spacing w:after="120"/>
      <w:ind w:left="849"/>
      <w:contextualSpacing/>
    </w:pPr>
  </w:style>
  <w:style w:type="paragraph" w:styleId="Listenfortsetzung4">
    <w:name w:val="List Continue 4"/>
    <w:basedOn w:val="Standard"/>
    <w:rsid w:val="005338B9"/>
    <w:pPr>
      <w:spacing w:after="120"/>
      <w:ind w:left="1132"/>
      <w:contextualSpacing/>
    </w:pPr>
  </w:style>
  <w:style w:type="paragraph" w:styleId="Listenfortsetzung5">
    <w:name w:val="List Continue 5"/>
    <w:basedOn w:val="Standard"/>
    <w:rsid w:val="005338B9"/>
    <w:pPr>
      <w:spacing w:after="120"/>
      <w:ind w:left="1415"/>
      <w:contextualSpacing/>
    </w:pPr>
  </w:style>
  <w:style w:type="paragraph" w:styleId="Listennummer">
    <w:name w:val="List Number"/>
    <w:basedOn w:val="Standard"/>
    <w:rsid w:val="005338B9"/>
    <w:pPr>
      <w:numPr>
        <w:numId w:val="23"/>
      </w:numPr>
      <w:contextualSpacing/>
    </w:pPr>
  </w:style>
  <w:style w:type="paragraph" w:styleId="Listennummer2">
    <w:name w:val="List Number 2"/>
    <w:basedOn w:val="Standard"/>
    <w:rsid w:val="005338B9"/>
    <w:pPr>
      <w:numPr>
        <w:numId w:val="24"/>
      </w:numPr>
      <w:contextualSpacing/>
    </w:pPr>
  </w:style>
  <w:style w:type="paragraph" w:styleId="Listennummer3">
    <w:name w:val="List Number 3"/>
    <w:basedOn w:val="Standard"/>
    <w:rsid w:val="005338B9"/>
    <w:pPr>
      <w:numPr>
        <w:numId w:val="25"/>
      </w:numPr>
      <w:contextualSpacing/>
    </w:pPr>
  </w:style>
  <w:style w:type="paragraph" w:styleId="Listennummer4">
    <w:name w:val="List Number 4"/>
    <w:basedOn w:val="Standard"/>
    <w:rsid w:val="005338B9"/>
    <w:pPr>
      <w:numPr>
        <w:numId w:val="26"/>
      </w:numPr>
      <w:contextualSpacing/>
    </w:pPr>
  </w:style>
  <w:style w:type="paragraph" w:styleId="Listennummer5">
    <w:name w:val="List Number 5"/>
    <w:basedOn w:val="Standard"/>
    <w:rsid w:val="005338B9"/>
    <w:pPr>
      <w:numPr>
        <w:numId w:val="27"/>
      </w:numPr>
      <w:contextualSpacing/>
    </w:pPr>
  </w:style>
  <w:style w:type="paragraph" w:styleId="Literaturverzeichnis">
    <w:name w:val="Bibliography"/>
    <w:basedOn w:val="Standard"/>
    <w:next w:val="Standard"/>
    <w:uiPriority w:val="37"/>
    <w:semiHidden/>
    <w:unhideWhenUsed/>
    <w:rsid w:val="005338B9"/>
  </w:style>
  <w:style w:type="paragraph" w:styleId="Makrotext">
    <w:name w:val="macro"/>
    <w:link w:val="MakrotextZchn"/>
    <w:rsid w:val="005338B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5338B9"/>
    <w:rPr>
      <w:rFonts w:ascii="Consolas" w:hAnsi="Consolas" w:cs="Consolas"/>
    </w:rPr>
  </w:style>
  <w:style w:type="paragraph" w:styleId="Nachrichtenkopf">
    <w:name w:val="Message Header"/>
    <w:basedOn w:val="Standard"/>
    <w:link w:val="NachrichtenkopfZchn"/>
    <w:rsid w:val="005338B9"/>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5338B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5338B9"/>
    <w:pPr>
      <w:spacing w:before="0"/>
    </w:pPr>
    <w:rPr>
      <w:rFonts w:ascii="Consolas" w:hAnsi="Consolas" w:cs="Consolas"/>
      <w:sz w:val="21"/>
      <w:szCs w:val="21"/>
    </w:rPr>
  </w:style>
  <w:style w:type="character" w:customStyle="1" w:styleId="NurTextZchn">
    <w:name w:val="Nur Text Zchn"/>
    <w:basedOn w:val="Absatz-Standardschriftart"/>
    <w:link w:val="NurText"/>
    <w:rsid w:val="005338B9"/>
    <w:rPr>
      <w:rFonts w:ascii="Consolas" w:hAnsi="Consolas" w:cs="Consolas"/>
      <w:sz w:val="21"/>
      <w:szCs w:val="21"/>
    </w:rPr>
  </w:style>
  <w:style w:type="character" w:styleId="Platzhaltertext">
    <w:name w:val="Placeholder Text"/>
    <w:basedOn w:val="Absatz-Standardschriftart"/>
    <w:uiPriority w:val="99"/>
    <w:semiHidden/>
    <w:rsid w:val="005338B9"/>
    <w:rPr>
      <w:color w:val="808080"/>
    </w:rPr>
  </w:style>
  <w:style w:type="paragraph" w:styleId="Rechtsgrundlagenverzeichnis">
    <w:name w:val="table of authoriti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5338B9"/>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5338B9"/>
    <w:rPr>
      <w:i/>
      <w:iCs/>
      <w:color w:val="808080" w:themeColor="text1" w:themeTint="7F"/>
    </w:rPr>
  </w:style>
  <w:style w:type="character" w:styleId="SchwacherVerweis">
    <w:name w:val="Subtle Reference"/>
    <w:basedOn w:val="Absatz-Standardschriftart"/>
    <w:uiPriority w:val="31"/>
    <w:rsid w:val="005338B9"/>
    <w:rPr>
      <w:smallCaps/>
      <w:color w:val="00ADEE" w:themeColor="accent2"/>
      <w:u w:val="single"/>
    </w:rPr>
  </w:style>
  <w:style w:type="paragraph" w:styleId="Standardeinzug">
    <w:name w:val="Normal Indent"/>
    <w:basedOn w:val="Standard"/>
    <w:rsid w:val="005338B9"/>
    <w:pPr>
      <w:ind w:left="708"/>
    </w:pPr>
  </w:style>
  <w:style w:type="paragraph" w:styleId="Textkrper">
    <w:name w:val="Body Text"/>
    <w:basedOn w:val="Standard"/>
    <w:link w:val="TextkrperZchn"/>
    <w:rsid w:val="005338B9"/>
    <w:pPr>
      <w:spacing w:after="120"/>
    </w:pPr>
  </w:style>
  <w:style w:type="character" w:customStyle="1" w:styleId="TextkrperZchn">
    <w:name w:val="Textkörper Zchn"/>
    <w:basedOn w:val="Absatz-Standardschriftart"/>
    <w:link w:val="Textkrper"/>
    <w:rsid w:val="005338B9"/>
    <w:rPr>
      <w:rFonts w:ascii="Arial" w:hAnsi="Arial"/>
      <w:sz w:val="22"/>
      <w:szCs w:val="22"/>
    </w:rPr>
  </w:style>
  <w:style w:type="paragraph" w:styleId="Textkrper2">
    <w:name w:val="Body Text 2"/>
    <w:basedOn w:val="Standard"/>
    <w:link w:val="Textkrper2Zchn"/>
    <w:rsid w:val="005338B9"/>
    <w:pPr>
      <w:spacing w:after="120" w:line="480" w:lineRule="auto"/>
    </w:pPr>
  </w:style>
  <w:style w:type="character" w:customStyle="1" w:styleId="Textkrper2Zchn">
    <w:name w:val="Textkörper 2 Zchn"/>
    <w:basedOn w:val="Absatz-Standardschriftart"/>
    <w:link w:val="Textkrper2"/>
    <w:rsid w:val="005338B9"/>
    <w:rPr>
      <w:rFonts w:ascii="Arial" w:hAnsi="Arial"/>
      <w:sz w:val="22"/>
      <w:szCs w:val="22"/>
    </w:rPr>
  </w:style>
  <w:style w:type="paragraph" w:styleId="Textkrper3">
    <w:name w:val="Body Text 3"/>
    <w:basedOn w:val="Standard"/>
    <w:link w:val="Textkrper3Zchn"/>
    <w:rsid w:val="005338B9"/>
    <w:pPr>
      <w:spacing w:after="120"/>
    </w:pPr>
    <w:rPr>
      <w:sz w:val="16"/>
      <w:szCs w:val="16"/>
    </w:rPr>
  </w:style>
  <w:style w:type="character" w:customStyle="1" w:styleId="Textkrper3Zchn">
    <w:name w:val="Textkörper 3 Zchn"/>
    <w:basedOn w:val="Absatz-Standardschriftart"/>
    <w:link w:val="Textkrper3"/>
    <w:rsid w:val="005338B9"/>
    <w:rPr>
      <w:rFonts w:ascii="Arial" w:hAnsi="Arial"/>
      <w:sz w:val="16"/>
      <w:szCs w:val="16"/>
    </w:rPr>
  </w:style>
  <w:style w:type="paragraph" w:styleId="Textkrper-Einzug2">
    <w:name w:val="Body Text Indent 2"/>
    <w:basedOn w:val="Standard"/>
    <w:link w:val="Textkrper-Einzug2Zchn"/>
    <w:rsid w:val="005338B9"/>
    <w:pPr>
      <w:spacing w:after="120" w:line="480" w:lineRule="auto"/>
      <w:ind w:left="283"/>
    </w:pPr>
  </w:style>
  <w:style w:type="character" w:customStyle="1" w:styleId="Textkrper-Einzug2Zchn">
    <w:name w:val="Textkörper-Einzug 2 Zchn"/>
    <w:basedOn w:val="Absatz-Standardschriftart"/>
    <w:link w:val="Textkrper-Einzug2"/>
    <w:rsid w:val="005338B9"/>
    <w:rPr>
      <w:rFonts w:ascii="Arial" w:hAnsi="Arial"/>
      <w:sz w:val="22"/>
      <w:szCs w:val="22"/>
    </w:rPr>
  </w:style>
  <w:style w:type="paragraph" w:styleId="Textkrper-Einzug3">
    <w:name w:val="Body Text Indent 3"/>
    <w:basedOn w:val="Standard"/>
    <w:link w:val="Textkrper-Einzug3Zchn"/>
    <w:rsid w:val="005338B9"/>
    <w:pPr>
      <w:spacing w:after="120"/>
      <w:ind w:left="283"/>
    </w:pPr>
    <w:rPr>
      <w:sz w:val="16"/>
      <w:szCs w:val="16"/>
    </w:rPr>
  </w:style>
  <w:style w:type="character" w:customStyle="1" w:styleId="Textkrper-Einzug3Zchn">
    <w:name w:val="Textkörper-Einzug 3 Zchn"/>
    <w:basedOn w:val="Absatz-Standardschriftart"/>
    <w:link w:val="Textkrper-Einzug3"/>
    <w:rsid w:val="005338B9"/>
    <w:rPr>
      <w:rFonts w:ascii="Arial" w:hAnsi="Arial"/>
      <w:sz w:val="16"/>
      <w:szCs w:val="16"/>
    </w:rPr>
  </w:style>
  <w:style w:type="paragraph" w:styleId="Textkrper-Erstzeileneinzug">
    <w:name w:val="Body Text First Indent"/>
    <w:basedOn w:val="Textkrper"/>
    <w:link w:val="Textkrper-ErstzeileneinzugZchn"/>
    <w:rsid w:val="005338B9"/>
    <w:pPr>
      <w:spacing w:after="0"/>
      <w:ind w:firstLine="360"/>
    </w:pPr>
  </w:style>
  <w:style w:type="character" w:customStyle="1" w:styleId="Textkrper-ErstzeileneinzugZchn">
    <w:name w:val="Textkörper-Erstzeileneinzug Zchn"/>
    <w:basedOn w:val="TextkrperZchn"/>
    <w:link w:val="Textkrper-Erstzeileneinzug"/>
    <w:rsid w:val="005338B9"/>
  </w:style>
  <w:style w:type="paragraph" w:styleId="Textkrper-Zeileneinzug">
    <w:name w:val="Body Text Indent"/>
    <w:basedOn w:val="Standard"/>
    <w:link w:val="Textkrper-ZeileneinzugZchn"/>
    <w:rsid w:val="005338B9"/>
    <w:pPr>
      <w:spacing w:after="120"/>
      <w:ind w:left="283"/>
    </w:pPr>
  </w:style>
  <w:style w:type="character" w:customStyle="1" w:styleId="Textkrper-ZeileneinzugZchn">
    <w:name w:val="Textkörper-Zeileneinzug Zchn"/>
    <w:basedOn w:val="Absatz-Standardschriftart"/>
    <w:link w:val="Textkrper-Zeileneinzug"/>
    <w:rsid w:val="005338B9"/>
    <w:rPr>
      <w:rFonts w:ascii="Arial" w:hAnsi="Arial"/>
      <w:sz w:val="22"/>
      <w:szCs w:val="22"/>
    </w:rPr>
  </w:style>
  <w:style w:type="paragraph" w:styleId="Textkrper-Erstzeileneinzug2">
    <w:name w:val="Body Text First Indent 2"/>
    <w:basedOn w:val="Textkrper-Zeileneinzug"/>
    <w:link w:val="Textkrper-Erstzeileneinzug2Zchn"/>
    <w:rsid w:val="005338B9"/>
    <w:pPr>
      <w:spacing w:after="0"/>
      <w:ind w:left="360" w:firstLine="360"/>
    </w:pPr>
  </w:style>
  <w:style w:type="character" w:customStyle="1" w:styleId="Textkrper-Erstzeileneinzug2Zchn">
    <w:name w:val="Textkörper-Erstzeileneinzug 2 Zchn"/>
    <w:basedOn w:val="Textkrper-ZeileneinzugZchn"/>
    <w:link w:val="Textkrper-Erstzeileneinzug2"/>
    <w:rsid w:val="005338B9"/>
  </w:style>
  <w:style w:type="paragraph" w:styleId="Titel">
    <w:name w:val="Title"/>
    <w:basedOn w:val="Standard"/>
    <w:next w:val="Standard"/>
    <w:link w:val="TitelZchn"/>
    <w:rsid w:val="005338B9"/>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5338B9"/>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5338B9"/>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5338B9"/>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5338B9"/>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5338B9"/>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5338B9"/>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5338B9"/>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5338B9"/>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5338B9"/>
    <w:pPr>
      <w:spacing w:before="0"/>
    </w:pPr>
    <w:rPr>
      <w:rFonts w:asciiTheme="majorHAnsi" w:eastAsiaTheme="majorEastAsia" w:hAnsiTheme="majorHAnsi" w:cstheme="majorBidi"/>
      <w:sz w:val="20"/>
      <w:szCs w:val="20"/>
    </w:rPr>
  </w:style>
  <w:style w:type="paragraph" w:styleId="Umschlagadresse">
    <w:name w:val="envelope address"/>
    <w:basedOn w:val="Standard"/>
    <w:rsid w:val="005338B9"/>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5338B9"/>
    <w:pPr>
      <w:spacing w:before="0"/>
      <w:ind w:left="4252"/>
    </w:pPr>
  </w:style>
  <w:style w:type="character" w:customStyle="1" w:styleId="UnterschriftZchn">
    <w:name w:val="Unterschrift Zchn"/>
    <w:basedOn w:val="Absatz-Standardschriftart"/>
    <w:link w:val="Unterschrift"/>
    <w:rsid w:val="005338B9"/>
    <w:rPr>
      <w:rFonts w:ascii="Arial" w:hAnsi="Arial"/>
      <w:sz w:val="22"/>
      <w:szCs w:val="22"/>
    </w:rPr>
  </w:style>
  <w:style w:type="paragraph" w:styleId="Untertitel">
    <w:name w:val="Subtitle"/>
    <w:basedOn w:val="Standard"/>
    <w:next w:val="Standard"/>
    <w:link w:val="UntertitelZchn"/>
    <w:rsid w:val="005338B9"/>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5338B9"/>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5338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JI\SETS\WORD\FORMS\10000001.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10000001.dotx</Template>
  <TotalTime>0</TotalTime>
  <Pages>4</Pages>
  <Words>1542</Words>
  <Characters>10168</Characters>
  <Application>Microsoft Office Word</Application>
  <DocSecurity>0</DocSecurity>
  <PresentationFormat/>
  <Lines>84</Lines>
  <Paragraphs>23</Paragraphs>
  <ScaleCrop>false</ScaleCrop>
  <HeadingPairs>
    <vt:vector size="2" baseType="variant">
      <vt:variant>
        <vt:lpstr>Titel</vt:lpstr>
      </vt:variant>
      <vt:variant>
        <vt:i4>1</vt:i4>
      </vt:variant>
    </vt:vector>
  </HeadingPairs>
  <TitlesOfParts>
    <vt:vector size="1" baseType="lpstr">
      <vt:lpstr/>
    </vt:vector>
  </TitlesOfParts>
  <Company>DJI</Company>
  <LinksUpToDate>false</LinksUpToDate>
  <CharactersWithSpaces>11687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hoch</dc:title>
  <dc:creator>b260pev</dc:creator>
  <cp:lastModifiedBy>b260pev</cp:lastModifiedBy>
  <cp:revision>10</cp:revision>
  <cp:lastPrinted>2016-07-11T06:03:00Z</cp:lastPrinted>
  <dcterms:created xsi:type="dcterms:W3CDTF">2016-07-05T07:05:00Z</dcterms:created>
  <dcterms:modified xsi:type="dcterms:W3CDTF">2016-07-11T06:03:00Z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Brief.DOT</vt:lpwstr>
  </property>
  <property fmtid="{D5CDD505-2E9C-101B-9397-08002B2CF9AE}" pid="3" name="Dot_Vers">
    <vt:lpwstr>1.0</vt:lpwstr>
  </property>
  <property fmtid="{D5CDD505-2E9C-101B-9397-08002B2CF9AE}" pid="4" name="FV_Vorlage">
    <vt:lpwstr>Erweitert</vt:lpwstr>
  </property>
</Properties>
</file>